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7E" w:rsidRDefault="00DE577E" w:rsidP="008521CB">
      <w:pPr>
        <w:pStyle w:val="Default"/>
        <w:jc w:val="center"/>
        <w:rPr>
          <w:b/>
          <w:bCs/>
          <w:sz w:val="28"/>
          <w:szCs w:val="28"/>
        </w:rPr>
      </w:pPr>
    </w:p>
    <w:p w:rsidR="008521CB" w:rsidRPr="008521CB" w:rsidRDefault="007F64E1" w:rsidP="008521CB">
      <w:pPr>
        <w:pStyle w:val="Default"/>
        <w:jc w:val="center"/>
        <w:rPr>
          <w:b/>
          <w:bCs/>
          <w:sz w:val="28"/>
          <w:szCs w:val="28"/>
        </w:rPr>
      </w:pPr>
      <w:r>
        <w:rPr>
          <w:b/>
          <w:bCs/>
          <w:sz w:val="28"/>
          <w:szCs w:val="28"/>
        </w:rPr>
        <w:t>Podiatry Council</w:t>
      </w:r>
      <w:r w:rsidR="008521CB" w:rsidRPr="008521CB">
        <w:rPr>
          <w:b/>
          <w:bCs/>
          <w:sz w:val="28"/>
          <w:szCs w:val="28"/>
        </w:rPr>
        <w:t xml:space="preserve"> of New South Wales</w:t>
      </w:r>
    </w:p>
    <w:p w:rsidR="008521CB" w:rsidRPr="008521CB" w:rsidRDefault="008521CB" w:rsidP="008521CB">
      <w:pPr>
        <w:pStyle w:val="Default"/>
        <w:rPr>
          <w:b/>
          <w:bCs/>
          <w:sz w:val="28"/>
          <w:szCs w:val="28"/>
        </w:rPr>
      </w:pPr>
    </w:p>
    <w:p w:rsidR="008521CB" w:rsidRDefault="008521CB" w:rsidP="008521CB">
      <w:pPr>
        <w:pStyle w:val="Default"/>
        <w:jc w:val="center"/>
        <w:rPr>
          <w:b/>
          <w:bCs/>
          <w:sz w:val="28"/>
          <w:szCs w:val="28"/>
          <w:u w:val="single"/>
        </w:rPr>
      </w:pPr>
      <w:r w:rsidRPr="008521CB">
        <w:rPr>
          <w:b/>
          <w:bCs/>
          <w:sz w:val="28"/>
          <w:szCs w:val="28"/>
          <w:u w:val="single"/>
        </w:rPr>
        <w:t>PROTOCOL FOR ALCOHOL TESTING</w:t>
      </w:r>
    </w:p>
    <w:p w:rsidR="008521CB" w:rsidRPr="008521CB" w:rsidRDefault="008521CB" w:rsidP="008521CB">
      <w:pPr>
        <w:pStyle w:val="Default"/>
        <w:jc w:val="center"/>
        <w:rPr>
          <w:b/>
          <w:bCs/>
          <w:sz w:val="28"/>
          <w:szCs w:val="28"/>
          <w:u w:val="single"/>
        </w:rPr>
      </w:pPr>
    </w:p>
    <w:p w:rsidR="008521CB" w:rsidRPr="008521CB" w:rsidRDefault="008521CB" w:rsidP="008521CB">
      <w:pPr>
        <w:pStyle w:val="Default"/>
        <w:jc w:val="center"/>
        <w:rPr>
          <w:b/>
          <w:bCs/>
        </w:rPr>
      </w:pPr>
      <w:r w:rsidRPr="008521CB">
        <w:rPr>
          <w:b/>
          <w:bCs/>
        </w:rPr>
        <w:t>Carbohydrate-Deficient Transferrin (CDT)</w:t>
      </w:r>
    </w:p>
    <w:p w:rsidR="008521CB" w:rsidRDefault="008521CB" w:rsidP="008521CB">
      <w:pPr>
        <w:pStyle w:val="Default"/>
        <w:rPr>
          <w:sz w:val="22"/>
          <w:szCs w:val="22"/>
        </w:rPr>
      </w:pPr>
    </w:p>
    <w:p w:rsidR="00DE577E" w:rsidRPr="008521CB" w:rsidRDefault="00DE577E" w:rsidP="008521CB">
      <w:pPr>
        <w:pStyle w:val="Default"/>
        <w:rPr>
          <w:sz w:val="22"/>
          <w:szCs w:val="22"/>
        </w:rPr>
      </w:pPr>
    </w:p>
    <w:p w:rsidR="008521CB" w:rsidRDefault="008521CB" w:rsidP="00C67A87">
      <w:pPr>
        <w:pStyle w:val="Default"/>
        <w:numPr>
          <w:ilvl w:val="0"/>
          <w:numId w:val="1"/>
        </w:numPr>
        <w:ind w:left="426" w:hanging="426"/>
        <w:rPr>
          <w:b/>
          <w:bCs/>
          <w:sz w:val="22"/>
          <w:szCs w:val="22"/>
        </w:rPr>
      </w:pPr>
      <w:r w:rsidRPr="008521CB">
        <w:rPr>
          <w:b/>
          <w:bCs/>
          <w:sz w:val="22"/>
          <w:szCs w:val="22"/>
        </w:rPr>
        <w:t xml:space="preserve">INTRODUCTION </w:t>
      </w:r>
    </w:p>
    <w:p w:rsidR="00C67A87" w:rsidRPr="008521CB" w:rsidRDefault="00C67A87" w:rsidP="00C67A87">
      <w:pPr>
        <w:pStyle w:val="Default"/>
        <w:ind w:left="720"/>
        <w:rPr>
          <w:sz w:val="22"/>
          <w:szCs w:val="22"/>
        </w:rPr>
      </w:pPr>
    </w:p>
    <w:p w:rsidR="009D3E89" w:rsidRPr="0054487B" w:rsidRDefault="009D3E89" w:rsidP="0054487B">
      <w:pPr>
        <w:pStyle w:val="Default"/>
        <w:ind w:left="360"/>
        <w:jc w:val="both"/>
        <w:rPr>
          <w:color w:val="auto"/>
          <w:sz w:val="22"/>
          <w:szCs w:val="22"/>
        </w:rPr>
      </w:pPr>
      <w:r w:rsidRPr="0054487B">
        <w:rPr>
          <w:color w:val="auto"/>
          <w:sz w:val="22"/>
          <w:szCs w:val="22"/>
        </w:rPr>
        <w:t>The Council’s protocol for Carbohydrate-Deficient Transferrin (CDT) applies to all practitioners with a condition on their registration which requires CDT testing.</w:t>
      </w:r>
      <w:r w:rsidR="0054487B" w:rsidRPr="0054487B">
        <w:rPr>
          <w:color w:val="auto"/>
          <w:sz w:val="22"/>
          <w:szCs w:val="22"/>
        </w:rPr>
        <w:t xml:space="preserve"> Practitioners are expected to strictly comply with all the requirements set out in the Protocol for each stage of the process. Compliance with the CDT Protocol will be closely monitored by the Council.</w:t>
      </w:r>
    </w:p>
    <w:p w:rsidR="009D3E89" w:rsidRPr="0054487B" w:rsidRDefault="009D3E89" w:rsidP="009D3E89">
      <w:pPr>
        <w:pStyle w:val="Default"/>
        <w:ind w:left="360"/>
        <w:rPr>
          <w:color w:val="auto"/>
          <w:sz w:val="22"/>
          <w:szCs w:val="22"/>
        </w:rPr>
      </w:pPr>
    </w:p>
    <w:p w:rsidR="008521CB" w:rsidRPr="0054487B" w:rsidRDefault="008521CB" w:rsidP="0054487B">
      <w:pPr>
        <w:pStyle w:val="Default"/>
        <w:ind w:left="360"/>
        <w:jc w:val="both"/>
        <w:rPr>
          <w:color w:val="auto"/>
          <w:sz w:val="22"/>
          <w:szCs w:val="22"/>
        </w:rPr>
      </w:pPr>
      <w:r w:rsidRPr="0054487B">
        <w:rPr>
          <w:color w:val="auto"/>
          <w:sz w:val="22"/>
          <w:szCs w:val="22"/>
        </w:rPr>
        <w:t xml:space="preserve">A </w:t>
      </w:r>
      <w:r w:rsidR="009D3E89" w:rsidRPr="0054487B">
        <w:rPr>
          <w:color w:val="auto"/>
          <w:sz w:val="22"/>
          <w:szCs w:val="22"/>
        </w:rPr>
        <w:t>practitioner</w:t>
      </w:r>
      <w:r w:rsidRPr="0054487B">
        <w:rPr>
          <w:color w:val="auto"/>
          <w:sz w:val="22"/>
          <w:szCs w:val="22"/>
        </w:rPr>
        <w:t xml:space="preserve"> may be required to undertake </w:t>
      </w:r>
      <w:r w:rsidR="0054487B" w:rsidRPr="0054487B">
        <w:rPr>
          <w:color w:val="auto"/>
          <w:sz w:val="22"/>
          <w:szCs w:val="22"/>
        </w:rPr>
        <w:t>CDT</w:t>
      </w:r>
      <w:r w:rsidRPr="0054487B">
        <w:rPr>
          <w:color w:val="auto"/>
          <w:sz w:val="22"/>
          <w:szCs w:val="22"/>
        </w:rPr>
        <w:t xml:space="preserve"> testing where the presenting health problem is related to the harmful use of alcohol. The test is designed to identify excess consumption or harmful use of alcohol. </w:t>
      </w:r>
    </w:p>
    <w:p w:rsidR="008521CB" w:rsidRPr="008521CB" w:rsidRDefault="008521CB" w:rsidP="008521CB">
      <w:pPr>
        <w:pStyle w:val="Default"/>
        <w:rPr>
          <w:sz w:val="22"/>
          <w:szCs w:val="22"/>
        </w:rPr>
      </w:pPr>
    </w:p>
    <w:p w:rsidR="008521CB" w:rsidRDefault="008521CB" w:rsidP="004B3B52">
      <w:pPr>
        <w:pStyle w:val="Default"/>
        <w:numPr>
          <w:ilvl w:val="0"/>
          <w:numId w:val="1"/>
        </w:numPr>
        <w:rPr>
          <w:b/>
          <w:bCs/>
          <w:sz w:val="22"/>
          <w:szCs w:val="22"/>
        </w:rPr>
      </w:pPr>
      <w:r w:rsidRPr="008521CB">
        <w:rPr>
          <w:b/>
          <w:bCs/>
          <w:sz w:val="22"/>
          <w:szCs w:val="22"/>
        </w:rPr>
        <w:t xml:space="preserve">COLLECTION </w:t>
      </w:r>
    </w:p>
    <w:p w:rsidR="004B3B52" w:rsidRPr="008521CB" w:rsidRDefault="004B3B52" w:rsidP="004B3B52">
      <w:pPr>
        <w:pStyle w:val="Default"/>
        <w:ind w:left="720"/>
        <w:rPr>
          <w:sz w:val="22"/>
          <w:szCs w:val="22"/>
        </w:rPr>
      </w:pPr>
    </w:p>
    <w:p w:rsidR="008521CB" w:rsidRDefault="008521CB" w:rsidP="00C476E9">
      <w:pPr>
        <w:pStyle w:val="Default"/>
        <w:ind w:left="360"/>
        <w:jc w:val="both"/>
        <w:rPr>
          <w:sz w:val="22"/>
          <w:szCs w:val="22"/>
        </w:rPr>
      </w:pPr>
      <w:r w:rsidRPr="008521CB">
        <w:rPr>
          <w:sz w:val="22"/>
          <w:szCs w:val="22"/>
        </w:rPr>
        <w:t xml:space="preserve">Blood samples for alcohol tests are to be drawn by a pathology provider or medical practitioner. This facility is available through most major pathology laboratories. Alternatively, a treating medical practitioner (such as a general practitioner) may be nominated to draw the blood sample and arrange for it to be transferred to a pathology practice for separation, the serum then sent for testing. The participant may be required to seek Council approval of the arrangements for drawing blood samples. </w:t>
      </w:r>
    </w:p>
    <w:p w:rsidR="008F242F" w:rsidRPr="008521CB" w:rsidRDefault="008F242F" w:rsidP="00C476E9">
      <w:pPr>
        <w:pStyle w:val="Default"/>
        <w:jc w:val="both"/>
        <w:rPr>
          <w:sz w:val="22"/>
          <w:szCs w:val="22"/>
        </w:rPr>
      </w:pPr>
    </w:p>
    <w:p w:rsidR="008521CB" w:rsidRDefault="008521CB" w:rsidP="00C476E9">
      <w:pPr>
        <w:pStyle w:val="Default"/>
        <w:ind w:left="360"/>
        <w:jc w:val="both"/>
        <w:rPr>
          <w:sz w:val="22"/>
          <w:szCs w:val="22"/>
        </w:rPr>
      </w:pPr>
      <w:r w:rsidRPr="008521CB">
        <w:rPr>
          <w:sz w:val="22"/>
          <w:szCs w:val="22"/>
        </w:rPr>
        <w:t xml:space="preserve">The participant must ensure the pathology laboratory or treating medical practitioner collecting the specimen has a copy of this policy and protocol. </w:t>
      </w:r>
    </w:p>
    <w:p w:rsidR="004B3B52" w:rsidRPr="008521CB" w:rsidRDefault="004B3B52" w:rsidP="00C476E9">
      <w:pPr>
        <w:pStyle w:val="Default"/>
        <w:jc w:val="both"/>
        <w:rPr>
          <w:sz w:val="22"/>
          <w:szCs w:val="22"/>
        </w:rPr>
      </w:pPr>
    </w:p>
    <w:p w:rsidR="008521CB" w:rsidRDefault="008521CB" w:rsidP="00C476E9">
      <w:pPr>
        <w:pStyle w:val="Default"/>
        <w:ind w:firstLine="360"/>
        <w:jc w:val="both"/>
        <w:rPr>
          <w:sz w:val="22"/>
          <w:szCs w:val="22"/>
        </w:rPr>
      </w:pPr>
      <w:r w:rsidRPr="008521CB">
        <w:rPr>
          <w:sz w:val="22"/>
          <w:szCs w:val="22"/>
        </w:rPr>
        <w:t xml:space="preserve">At no time should the participant be responsible for the drawing or custody of the sample. </w:t>
      </w:r>
    </w:p>
    <w:p w:rsidR="00C67A87" w:rsidRPr="008521CB" w:rsidRDefault="00C67A87" w:rsidP="00C476E9">
      <w:pPr>
        <w:pStyle w:val="Default"/>
        <w:jc w:val="both"/>
        <w:rPr>
          <w:sz w:val="22"/>
          <w:szCs w:val="22"/>
        </w:rPr>
      </w:pPr>
    </w:p>
    <w:p w:rsidR="008521CB" w:rsidRDefault="008521CB" w:rsidP="00C67A87">
      <w:pPr>
        <w:pStyle w:val="Default"/>
        <w:numPr>
          <w:ilvl w:val="0"/>
          <w:numId w:val="1"/>
        </w:numPr>
        <w:ind w:left="426" w:hanging="426"/>
        <w:rPr>
          <w:b/>
          <w:bCs/>
          <w:sz w:val="22"/>
          <w:szCs w:val="22"/>
        </w:rPr>
      </w:pPr>
      <w:r w:rsidRPr="008521CB">
        <w:rPr>
          <w:b/>
          <w:bCs/>
          <w:sz w:val="22"/>
          <w:szCs w:val="22"/>
        </w:rPr>
        <w:t xml:space="preserve">THE TEST </w:t>
      </w:r>
    </w:p>
    <w:p w:rsidR="00C67A87" w:rsidRPr="008521CB" w:rsidRDefault="00C67A87" w:rsidP="00C67A87">
      <w:pPr>
        <w:pStyle w:val="Default"/>
        <w:ind w:left="720"/>
        <w:rPr>
          <w:sz w:val="22"/>
          <w:szCs w:val="22"/>
        </w:rPr>
      </w:pPr>
    </w:p>
    <w:p w:rsidR="00977AD4" w:rsidRDefault="008521CB" w:rsidP="00977AD4">
      <w:pPr>
        <w:pStyle w:val="Default"/>
        <w:ind w:left="426"/>
        <w:jc w:val="both"/>
        <w:rPr>
          <w:sz w:val="22"/>
          <w:szCs w:val="22"/>
        </w:rPr>
      </w:pPr>
      <w:r w:rsidRPr="008521CB">
        <w:rPr>
          <w:sz w:val="22"/>
          <w:szCs w:val="22"/>
        </w:rPr>
        <w:t xml:space="preserve">The Department of Biochemistry at Concord Hospital uses the Dade Behring N Latex CDT® Particle Enhanced Nephelometric Immunoassay (PENIA) for the determination of percentage Carbohydrate-Deficient Transferrin (%CDT). The Dade Behring method uses a specific CDT monoclonal antibody to ensure there are no false positive results due to genetic variants or other non-alcoholic liver disease causing deficiencies in </w:t>
      </w:r>
      <w:proofErr w:type="spellStart"/>
      <w:r w:rsidRPr="008521CB">
        <w:rPr>
          <w:sz w:val="22"/>
          <w:szCs w:val="22"/>
        </w:rPr>
        <w:t>sial</w:t>
      </w:r>
      <w:r w:rsidR="00977AD4">
        <w:rPr>
          <w:sz w:val="22"/>
          <w:szCs w:val="22"/>
        </w:rPr>
        <w:t>ic</w:t>
      </w:r>
      <w:proofErr w:type="spellEnd"/>
      <w:r w:rsidR="00977AD4">
        <w:rPr>
          <w:sz w:val="22"/>
          <w:szCs w:val="22"/>
        </w:rPr>
        <w:t xml:space="preserve"> acid content of transferrin. The </w:t>
      </w:r>
      <w:r w:rsidR="00977AD4" w:rsidRPr="008521CB">
        <w:rPr>
          <w:sz w:val="22"/>
          <w:szCs w:val="22"/>
        </w:rPr>
        <w:t xml:space="preserve">reference range for %CDT using this method is 1.2 – 2.2%. A raised CDT greater than 2.2% is highly suggestive of chronic harmful alcohol abuse. </w:t>
      </w:r>
    </w:p>
    <w:p w:rsidR="00C67A87" w:rsidRPr="008521CB" w:rsidRDefault="00C67A87" w:rsidP="008521CB">
      <w:pPr>
        <w:pStyle w:val="Default"/>
        <w:rPr>
          <w:sz w:val="22"/>
          <w:szCs w:val="22"/>
        </w:rPr>
      </w:pPr>
    </w:p>
    <w:p w:rsidR="008521CB" w:rsidRPr="00D954D1" w:rsidRDefault="008521CB" w:rsidP="007B1145">
      <w:pPr>
        <w:pStyle w:val="Default"/>
        <w:ind w:left="426"/>
        <w:rPr>
          <w:bCs/>
          <w:sz w:val="22"/>
          <w:szCs w:val="22"/>
        </w:rPr>
      </w:pPr>
      <w:r w:rsidRPr="00D954D1">
        <w:rPr>
          <w:bCs/>
          <w:sz w:val="22"/>
          <w:szCs w:val="22"/>
        </w:rPr>
        <w:t xml:space="preserve">Participants are required to have their samples tested at Concord Hospital. </w:t>
      </w:r>
      <w:r w:rsidR="00D954D1" w:rsidRPr="00D954D1">
        <w:rPr>
          <w:bCs/>
          <w:sz w:val="22"/>
          <w:szCs w:val="22"/>
        </w:rPr>
        <w:t xml:space="preserve">The Department of Biochemistry at Concord Hospital may be contacted on </w:t>
      </w:r>
      <w:r w:rsidR="00D954D1">
        <w:rPr>
          <w:bCs/>
          <w:sz w:val="22"/>
          <w:szCs w:val="22"/>
        </w:rPr>
        <w:t>(</w:t>
      </w:r>
      <w:r w:rsidR="00D954D1" w:rsidRPr="00D954D1">
        <w:rPr>
          <w:bCs/>
          <w:sz w:val="22"/>
          <w:szCs w:val="22"/>
        </w:rPr>
        <w:t>02</w:t>
      </w:r>
      <w:r w:rsidR="00D954D1">
        <w:rPr>
          <w:bCs/>
          <w:sz w:val="22"/>
          <w:szCs w:val="22"/>
        </w:rPr>
        <w:t>) 9767 6663.</w:t>
      </w:r>
    </w:p>
    <w:p w:rsidR="00977AD4" w:rsidRDefault="00977AD4">
      <w:pPr>
        <w:rPr>
          <w:rFonts w:ascii="Arial" w:hAnsi="Arial" w:cs="Arial"/>
          <w:color w:val="000000"/>
        </w:rPr>
      </w:pPr>
      <w:r>
        <w:br w:type="page"/>
      </w:r>
    </w:p>
    <w:p w:rsidR="00C67A87" w:rsidRDefault="00C67A87" w:rsidP="008521CB">
      <w:pPr>
        <w:pStyle w:val="Default"/>
        <w:rPr>
          <w:sz w:val="22"/>
          <w:szCs w:val="22"/>
        </w:rPr>
      </w:pPr>
    </w:p>
    <w:p w:rsidR="00DE577E" w:rsidRPr="008521CB" w:rsidRDefault="00DE577E" w:rsidP="008521CB">
      <w:pPr>
        <w:pStyle w:val="Default"/>
        <w:rPr>
          <w:sz w:val="22"/>
          <w:szCs w:val="22"/>
        </w:rPr>
      </w:pPr>
    </w:p>
    <w:p w:rsidR="008521CB" w:rsidRDefault="008521CB" w:rsidP="00C67A87">
      <w:pPr>
        <w:pStyle w:val="Default"/>
        <w:numPr>
          <w:ilvl w:val="0"/>
          <w:numId w:val="1"/>
        </w:numPr>
        <w:ind w:left="426" w:hanging="426"/>
        <w:rPr>
          <w:b/>
          <w:bCs/>
          <w:sz w:val="22"/>
          <w:szCs w:val="22"/>
        </w:rPr>
      </w:pPr>
      <w:r w:rsidRPr="008521CB">
        <w:rPr>
          <w:b/>
          <w:bCs/>
          <w:sz w:val="22"/>
          <w:szCs w:val="22"/>
        </w:rPr>
        <w:t xml:space="preserve">ELEVATED % CDT </w:t>
      </w:r>
    </w:p>
    <w:p w:rsidR="00C67A87" w:rsidRPr="008521CB" w:rsidRDefault="00C67A87" w:rsidP="00C67A87">
      <w:pPr>
        <w:pStyle w:val="Default"/>
        <w:ind w:left="720"/>
        <w:rPr>
          <w:sz w:val="22"/>
          <w:szCs w:val="22"/>
        </w:rPr>
      </w:pPr>
    </w:p>
    <w:p w:rsidR="00977AD4" w:rsidRDefault="008521CB" w:rsidP="00C476E9">
      <w:pPr>
        <w:pStyle w:val="Default"/>
        <w:ind w:left="426"/>
        <w:jc w:val="both"/>
        <w:rPr>
          <w:sz w:val="22"/>
          <w:szCs w:val="22"/>
        </w:rPr>
      </w:pPr>
      <w:r w:rsidRPr="008521CB">
        <w:rPr>
          <w:sz w:val="22"/>
          <w:szCs w:val="22"/>
        </w:rPr>
        <w:t xml:space="preserve">If the participant returns a sample with an elevated % CDT, the participant may be required to provide a further blood sample for determination </w:t>
      </w:r>
      <w:r w:rsidR="00D954D1">
        <w:rPr>
          <w:sz w:val="22"/>
          <w:szCs w:val="22"/>
        </w:rPr>
        <w:t>of the level of GGT (γ-</w:t>
      </w:r>
      <w:proofErr w:type="spellStart"/>
      <w:r w:rsidR="00D954D1">
        <w:rPr>
          <w:sz w:val="22"/>
          <w:szCs w:val="22"/>
        </w:rPr>
        <w:t>glutamyl</w:t>
      </w:r>
      <w:proofErr w:type="spellEnd"/>
      <w:r w:rsidR="00D954D1">
        <w:rPr>
          <w:sz w:val="22"/>
          <w:szCs w:val="22"/>
        </w:rPr>
        <w:t xml:space="preserve"> </w:t>
      </w:r>
      <w:proofErr w:type="spellStart"/>
      <w:r w:rsidRPr="008521CB">
        <w:rPr>
          <w:sz w:val="22"/>
          <w:szCs w:val="22"/>
        </w:rPr>
        <w:t>transferase</w:t>
      </w:r>
      <w:proofErr w:type="spellEnd"/>
      <w:r w:rsidRPr="008521CB">
        <w:rPr>
          <w:sz w:val="22"/>
          <w:szCs w:val="22"/>
        </w:rPr>
        <w:t xml:space="preserve">). This test may be undertaken at a pathology laboratory of the participant’s choosing, though the collection supervision must remain the same. There is </w:t>
      </w:r>
    </w:p>
    <w:p w:rsidR="008521CB" w:rsidRPr="008521CB" w:rsidRDefault="008521CB" w:rsidP="00977AD4">
      <w:pPr>
        <w:pStyle w:val="Default"/>
        <w:ind w:left="426"/>
        <w:jc w:val="both"/>
        <w:rPr>
          <w:sz w:val="22"/>
          <w:szCs w:val="22"/>
        </w:rPr>
      </w:pPr>
      <w:proofErr w:type="gramStart"/>
      <w:r w:rsidRPr="008521CB">
        <w:rPr>
          <w:sz w:val="22"/>
          <w:szCs w:val="22"/>
        </w:rPr>
        <w:t>no</w:t>
      </w:r>
      <w:proofErr w:type="gramEnd"/>
      <w:r w:rsidRPr="008521CB">
        <w:rPr>
          <w:sz w:val="22"/>
          <w:szCs w:val="22"/>
        </w:rPr>
        <w:t xml:space="preserve"> correlation between GGT and CDT, but if they are both raised the sensitivity of the diagnosis of harmful use of alcohol is increased. </w:t>
      </w:r>
    </w:p>
    <w:p w:rsidR="00D954D1" w:rsidRDefault="00D954D1" w:rsidP="00D954D1">
      <w:pPr>
        <w:pStyle w:val="Default"/>
        <w:jc w:val="both"/>
        <w:rPr>
          <w:sz w:val="22"/>
          <w:szCs w:val="22"/>
        </w:rPr>
      </w:pPr>
    </w:p>
    <w:p w:rsidR="008521CB" w:rsidRDefault="008521CB" w:rsidP="00C476E9">
      <w:pPr>
        <w:pStyle w:val="Default"/>
        <w:ind w:left="426"/>
        <w:jc w:val="both"/>
        <w:rPr>
          <w:sz w:val="22"/>
          <w:szCs w:val="22"/>
        </w:rPr>
      </w:pPr>
      <w:r w:rsidRPr="008521CB">
        <w:rPr>
          <w:sz w:val="22"/>
          <w:szCs w:val="22"/>
        </w:rPr>
        <w:t xml:space="preserve">If the participant returns a sample with an elevated % CDT, the participant will be required to provide a written explanation for the consideration of the Council. </w:t>
      </w:r>
    </w:p>
    <w:p w:rsidR="00D954D1" w:rsidRDefault="00D954D1" w:rsidP="00D954D1">
      <w:pPr>
        <w:pStyle w:val="Default"/>
        <w:jc w:val="both"/>
        <w:rPr>
          <w:sz w:val="22"/>
          <w:szCs w:val="22"/>
        </w:rPr>
      </w:pPr>
    </w:p>
    <w:p w:rsidR="00D954D1" w:rsidRDefault="00D954D1" w:rsidP="00D954D1">
      <w:pPr>
        <w:pStyle w:val="Default"/>
        <w:numPr>
          <w:ilvl w:val="0"/>
          <w:numId w:val="1"/>
        </w:numPr>
        <w:ind w:left="426" w:hanging="426"/>
        <w:rPr>
          <w:b/>
          <w:bCs/>
          <w:sz w:val="22"/>
          <w:szCs w:val="22"/>
        </w:rPr>
      </w:pPr>
      <w:r w:rsidRPr="008521CB">
        <w:rPr>
          <w:b/>
          <w:bCs/>
          <w:sz w:val="22"/>
          <w:szCs w:val="22"/>
        </w:rPr>
        <w:t xml:space="preserve">SAMPLE MATERIAL </w:t>
      </w:r>
    </w:p>
    <w:p w:rsidR="00D954D1" w:rsidRPr="008521CB" w:rsidRDefault="00D954D1" w:rsidP="00D954D1">
      <w:pPr>
        <w:pStyle w:val="Default"/>
        <w:ind w:left="720"/>
        <w:rPr>
          <w:sz w:val="22"/>
          <w:szCs w:val="22"/>
        </w:rPr>
      </w:pPr>
    </w:p>
    <w:p w:rsidR="00D954D1" w:rsidRPr="008521CB" w:rsidRDefault="00D954D1" w:rsidP="00C476E9">
      <w:pPr>
        <w:pStyle w:val="Default"/>
        <w:ind w:left="360"/>
        <w:jc w:val="both"/>
        <w:rPr>
          <w:sz w:val="22"/>
          <w:szCs w:val="22"/>
        </w:rPr>
      </w:pPr>
      <w:r w:rsidRPr="008521CB">
        <w:rPr>
          <w:sz w:val="22"/>
          <w:szCs w:val="22"/>
        </w:rPr>
        <w:t xml:space="preserve">Serum is the only recommended sample material. Plasma is unsuitable. 1.5 </w:t>
      </w:r>
      <w:proofErr w:type="spellStart"/>
      <w:r w:rsidRPr="008521CB">
        <w:rPr>
          <w:sz w:val="22"/>
          <w:szCs w:val="22"/>
        </w:rPr>
        <w:t>mL</w:t>
      </w:r>
      <w:proofErr w:type="spellEnd"/>
      <w:r w:rsidRPr="008521CB">
        <w:rPr>
          <w:sz w:val="22"/>
          <w:szCs w:val="22"/>
        </w:rPr>
        <w:t xml:space="preserve"> of serum is the minimum requirement for the test (a standard 7 </w:t>
      </w:r>
      <w:proofErr w:type="spellStart"/>
      <w:r w:rsidRPr="008521CB">
        <w:rPr>
          <w:sz w:val="22"/>
          <w:szCs w:val="22"/>
        </w:rPr>
        <w:t>mL</w:t>
      </w:r>
      <w:proofErr w:type="spellEnd"/>
      <w:r w:rsidRPr="008521CB">
        <w:rPr>
          <w:sz w:val="22"/>
          <w:szCs w:val="22"/>
        </w:rPr>
        <w:t xml:space="preserve"> collection tube will yield approximately 3.5 </w:t>
      </w:r>
      <w:proofErr w:type="spellStart"/>
      <w:r w:rsidRPr="008521CB">
        <w:rPr>
          <w:sz w:val="22"/>
          <w:szCs w:val="22"/>
        </w:rPr>
        <w:t>mL</w:t>
      </w:r>
      <w:proofErr w:type="spellEnd"/>
      <w:r w:rsidRPr="008521CB">
        <w:rPr>
          <w:sz w:val="22"/>
          <w:szCs w:val="22"/>
        </w:rPr>
        <w:t xml:space="preserve"> serum). Samples of frozen serum are to be forwarded to the pathologist for analysis. </w:t>
      </w:r>
    </w:p>
    <w:p w:rsidR="00D954D1" w:rsidRPr="00D954D1" w:rsidRDefault="00D954D1" w:rsidP="00D954D1">
      <w:pPr>
        <w:pStyle w:val="Default"/>
        <w:jc w:val="both"/>
        <w:rPr>
          <w:b/>
          <w:sz w:val="22"/>
          <w:szCs w:val="22"/>
        </w:rPr>
      </w:pPr>
    </w:p>
    <w:p w:rsidR="00D954D1" w:rsidRDefault="00D954D1" w:rsidP="00D954D1">
      <w:pPr>
        <w:pStyle w:val="Default"/>
        <w:numPr>
          <w:ilvl w:val="0"/>
          <w:numId w:val="1"/>
        </w:numPr>
        <w:jc w:val="both"/>
        <w:rPr>
          <w:b/>
          <w:sz w:val="22"/>
          <w:szCs w:val="22"/>
        </w:rPr>
      </w:pPr>
      <w:r w:rsidRPr="00D954D1">
        <w:rPr>
          <w:b/>
          <w:sz w:val="22"/>
          <w:szCs w:val="22"/>
        </w:rPr>
        <w:t xml:space="preserve">RECORD OF COLLECTION </w:t>
      </w:r>
    </w:p>
    <w:p w:rsidR="00D954D1" w:rsidRDefault="00D954D1" w:rsidP="00D954D1">
      <w:pPr>
        <w:pStyle w:val="Default"/>
        <w:jc w:val="both"/>
        <w:rPr>
          <w:b/>
          <w:sz w:val="22"/>
          <w:szCs w:val="22"/>
        </w:rPr>
      </w:pPr>
    </w:p>
    <w:p w:rsidR="00D954D1" w:rsidRPr="00D954D1" w:rsidRDefault="00D954D1" w:rsidP="00D954D1">
      <w:pPr>
        <w:pStyle w:val="Default"/>
        <w:ind w:left="360"/>
        <w:jc w:val="both"/>
        <w:rPr>
          <w:sz w:val="22"/>
          <w:szCs w:val="22"/>
        </w:rPr>
      </w:pPr>
      <w:r w:rsidRPr="00D954D1">
        <w:rPr>
          <w:sz w:val="22"/>
          <w:szCs w:val="22"/>
        </w:rPr>
        <w:t>The participant is</w:t>
      </w:r>
      <w:r>
        <w:rPr>
          <w:sz w:val="22"/>
          <w:szCs w:val="22"/>
        </w:rPr>
        <w:t xml:space="preserve"> required to keep and maintain a log book of sample collections, each collection record signed by the person responsible for drawing the sample. Copies of this record must be made available to the Council on request. </w:t>
      </w:r>
    </w:p>
    <w:p w:rsidR="00C67A87" w:rsidRPr="008521CB" w:rsidRDefault="00C67A87" w:rsidP="008521CB">
      <w:pPr>
        <w:pStyle w:val="Default"/>
        <w:rPr>
          <w:sz w:val="22"/>
          <w:szCs w:val="22"/>
        </w:rPr>
      </w:pPr>
    </w:p>
    <w:p w:rsidR="008521CB" w:rsidRDefault="008521CB" w:rsidP="00C67A87">
      <w:pPr>
        <w:pStyle w:val="Default"/>
        <w:numPr>
          <w:ilvl w:val="0"/>
          <w:numId w:val="1"/>
        </w:numPr>
        <w:ind w:left="426" w:hanging="426"/>
        <w:rPr>
          <w:b/>
          <w:bCs/>
          <w:sz w:val="22"/>
          <w:szCs w:val="22"/>
        </w:rPr>
      </w:pPr>
      <w:r w:rsidRPr="008521CB">
        <w:rPr>
          <w:b/>
          <w:bCs/>
          <w:sz w:val="22"/>
          <w:szCs w:val="22"/>
        </w:rPr>
        <w:t xml:space="preserve">COST </w:t>
      </w:r>
    </w:p>
    <w:p w:rsidR="00C67A87" w:rsidRPr="008521CB" w:rsidRDefault="00C67A87" w:rsidP="00C67A87">
      <w:pPr>
        <w:pStyle w:val="Default"/>
        <w:ind w:left="720"/>
        <w:rPr>
          <w:sz w:val="22"/>
          <w:szCs w:val="22"/>
        </w:rPr>
      </w:pPr>
    </w:p>
    <w:p w:rsidR="008521CB" w:rsidRDefault="008521CB" w:rsidP="00C476E9">
      <w:pPr>
        <w:pStyle w:val="Default"/>
        <w:ind w:left="426"/>
        <w:rPr>
          <w:sz w:val="22"/>
          <w:szCs w:val="22"/>
        </w:rPr>
      </w:pPr>
      <w:r w:rsidRPr="008521CB">
        <w:rPr>
          <w:sz w:val="22"/>
          <w:szCs w:val="22"/>
        </w:rPr>
        <w:t xml:space="preserve">The test does not attract a Medicare rebate. The participant is required to meet the cost of such testing by paying the pathology laboratory directly. The collection may also incur a fee, for which the participant is also responsible for paying. </w:t>
      </w:r>
    </w:p>
    <w:p w:rsidR="00D954D1" w:rsidRPr="008521CB" w:rsidRDefault="00D954D1" w:rsidP="008521CB">
      <w:pPr>
        <w:pStyle w:val="Default"/>
        <w:rPr>
          <w:sz w:val="22"/>
          <w:szCs w:val="22"/>
        </w:rPr>
      </w:pPr>
    </w:p>
    <w:p w:rsidR="00977AD4" w:rsidRDefault="008521CB" w:rsidP="00977AD4">
      <w:pPr>
        <w:pStyle w:val="Default"/>
        <w:ind w:left="426"/>
        <w:rPr>
          <w:sz w:val="22"/>
          <w:szCs w:val="22"/>
        </w:rPr>
      </w:pPr>
      <w:r w:rsidRPr="008521CB">
        <w:rPr>
          <w:sz w:val="22"/>
          <w:szCs w:val="22"/>
        </w:rPr>
        <w:t>Pathology laboratories may collect payment before or after the service has been provided. Unpaid accounts may lead to the laboratory ceasing the service. Failure to pay will be considered the same as failing to attend for sam</w:t>
      </w:r>
      <w:r w:rsidR="00977AD4">
        <w:rPr>
          <w:sz w:val="22"/>
          <w:szCs w:val="22"/>
        </w:rPr>
        <w:t>ple collection.</w:t>
      </w:r>
    </w:p>
    <w:p w:rsidR="00977AD4" w:rsidRDefault="00977AD4" w:rsidP="00977AD4">
      <w:pPr>
        <w:pStyle w:val="Default"/>
        <w:ind w:left="426"/>
        <w:rPr>
          <w:sz w:val="22"/>
          <w:szCs w:val="22"/>
        </w:rPr>
      </w:pPr>
    </w:p>
    <w:p w:rsidR="008521CB" w:rsidRPr="008521CB" w:rsidRDefault="00977AD4" w:rsidP="00977AD4">
      <w:pPr>
        <w:pStyle w:val="Default"/>
        <w:ind w:left="426" w:hanging="426"/>
        <w:rPr>
          <w:sz w:val="22"/>
          <w:szCs w:val="22"/>
        </w:rPr>
      </w:pPr>
      <w:r w:rsidRPr="008521CB">
        <w:rPr>
          <w:b/>
          <w:bCs/>
          <w:sz w:val="22"/>
          <w:szCs w:val="22"/>
        </w:rPr>
        <w:t xml:space="preserve"> </w:t>
      </w:r>
      <w:r w:rsidR="008521CB" w:rsidRPr="008521CB">
        <w:rPr>
          <w:b/>
          <w:bCs/>
          <w:sz w:val="22"/>
          <w:szCs w:val="22"/>
        </w:rPr>
        <w:t xml:space="preserve">8. </w:t>
      </w:r>
      <w:r w:rsidR="004B3B52">
        <w:rPr>
          <w:b/>
          <w:bCs/>
          <w:sz w:val="22"/>
          <w:szCs w:val="22"/>
        </w:rPr>
        <w:tab/>
      </w:r>
      <w:r w:rsidR="008521CB" w:rsidRPr="008521CB">
        <w:rPr>
          <w:b/>
          <w:bCs/>
          <w:sz w:val="22"/>
          <w:szCs w:val="22"/>
        </w:rPr>
        <w:t xml:space="preserve">PRIVACY </w:t>
      </w:r>
    </w:p>
    <w:p w:rsidR="00D954D1" w:rsidRDefault="00D954D1" w:rsidP="008521CB">
      <w:pPr>
        <w:pStyle w:val="Default"/>
        <w:rPr>
          <w:sz w:val="22"/>
          <w:szCs w:val="22"/>
        </w:rPr>
      </w:pPr>
    </w:p>
    <w:p w:rsidR="008521CB" w:rsidRPr="008521CB" w:rsidRDefault="008521CB" w:rsidP="00C476E9">
      <w:pPr>
        <w:pStyle w:val="Default"/>
        <w:ind w:firstLine="426"/>
        <w:rPr>
          <w:sz w:val="22"/>
          <w:szCs w:val="22"/>
        </w:rPr>
      </w:pPr>
      <w:r w:rsidRPr="008521CB">
        <w:rPr>
          <w:sz w:val="22"/>
          <w:szCs w:val="22"/>
        </w:rPr>
        <w:t xml:space="preserve">Pseudonyms may be used where the participant is concerned about confidentiality. The </w:t>
      </w:r>
    </w:p>
    <w:p w:rsidR="008521CB" w:rsidRDefault="008521CB" w:rsidP="00C476E9">
      <w:pPr>
        <w:pStyle w:val="Default"/>
        <w:ind w:left="426"/>
        <w:rPr>
          <w:sz w:val="22"/>
          <w:szCs w:val="22"/>
        </w:rPr>
      </w:pPr>
      <w:r w:rsidRPr="008521CB">
        <w:rPr>
          <w:sz w:val="22"/>
          <w:szCs w:val="22"/>
        </w:rPr>
        <w:t xml:space="preserve">Council, treating practitioner(s) and </w:t>
      </w:r>
      <w:r w:rsidR="00D954D1">
        <w:rPr>
          <w:sz w:val="22"/>
          <w:szCs w:val="22"/>
        </w:rPr>
        <w:t xml:space="preserve">Council Appointed Practitioners </w:t>
      </w:r>
      <w:r w:rsidRPr="008521CB">
        <w:rPr>
          <w:sz w:val="22"/>
          <w:szCs w:val="22"/>
        </w:rPr>
        <w:t xml:space="preserve">must be advised of the pseudonym that will appear on any of the test results. </w:t>
      </w:r>
    </w:p>
    <w:p w:rsidR="004B3B52" w:rsidRPr="008521CB" w:rsidRDefault="004B3B52" w:rsidP="008521CB">
      <w:pPr>
        <w:pStyle w:val="Default"/>
        <w:rPr>
          <w:sz w:val="22"/>
          <w:szCs w:val="22"/>
        </w:rPr>
      </w:pPr>
    </w:p>
    <w:p w:rsidR="008521CB" w:rsidRPr="008521CB" w:rsidRDefault="008521CB" w:rsidP="004B3B52">
      <w:pPr>
        <w:pStyle w:val="Default"/>
        <w:ind w:left="426" w:hanging="426"/>
        <w:rPr>
          <w:sz w:val="22"/>
          <w:szCs w:val="22"/>
        </w:rPr>
      </w:pPr>
      <w:r w:rsidRPr="008521CB">
        <w:rPr>
          <w:b/>
          <w:bCs/>
          <w:sz w:val="22"/>
          <w:szCs w:val="22"/>
        </w:rPr>
        <w:t xml:space="preserve">9. </w:t>
      </w:r>
      <w:r w:rsidR="004B3B52">
        <w:rPr>
          <w:b/>
          <w:bCs/>
          <w:sz w:val="22"/>
          <w:szCs w:val="22"/>
        </w:rPr>
        <w:tab/>
      </w:r>
      <w:r w:rsidRPr="008521CB">
        <w:rPr>
          <w:b/>
          <w:bCs/>
          <w:sz w:val="22"/>
          <w:szCs w:val="22"/>
        </w:rPr>
        <w:t xml:space="preserve">FAILURE TO ATTEND </w:t>
      </w:r>
    </w:p>
    <w:p w:rsidR="00C476E9" w:rsidRDefault="00C476E9" w:rsidP="008521CB">
      <w:pPr>
        <w:pStyle w:val="Default"/>
        <w:rPr>
          <w:sz w:val="22"/>
          <w:szCs w:val="22"/>
        </w:rPr>
      </w:pPr>
    </w:p>
    <w:p w:rsidR="008521CB" w:rsidRDefault="008521CB" w:rsidP="00B5042E">
      <w:pPr>
        <w:pStyle w:val="Default"/>
        <w:ind w:left="426"/>
        <w:jc w:val="both"/>
        <w:rPr>
          <w:sz w:val="22"/>
          <w:szCs w:val="22"/>
        </w:rPr>
      </w:pPr>
      <w:r w:rsidRPr="008521CB">
        <w:rPr>
          <w:sz w:val="22"/>
          <w:szCs w:val="22"/>
        </w:rPr>
        <w:t xml:space="preserve">The participant must attend for </w:t>
      </w:r>
      <w:r w:rsidR="00C476E9">
        <w:rPr>
          <w:sz w:val="22"/>
          <w:szCs w:val="22"/>
        </w:rPr>
        <w:t>CDT tes</w:t>
      </w:r>
      <w:r w:rsidR="00977AD4">
        <w:rPr>
          <w:sz w:val="22"/>
          <w:szCs w:val="22"/>
        </w:rPr>
        <w:t>t</w:t>
      </w:r>
      <w:r w:rsidR="00C476E9">
        <w:rPr>
          <w:sz w:val="22"/>
          <w:szCs w:val="22"/>
        </w:rPr>
        <w:t>ing</w:t>
      </w:r>
      <w:r w:rsidRPr="008521CB">
        <w:rPr>
          <w:sz w:val="22"/>
          <w:szCs w:val="22"/>
        </w:rPr>
        <w:t xml:space="preserve"> in ac</w:t>
      </w:r>
      <w:r w:rsidR="00C476E9">
        <w:rPr>
          <w:sz w:val="22"/>
          <w:szCs w:val="22"/>
        </w:rPr>
        <w:t>cordance with his/</w:t>
      </w:r>
      <w:r w:rsidRPr="008521CB">
        <w:rPr>
          <w:sz w:val="22"/>
          <w:szCs w:val="22"/>
        </w:rPr>
        <w:t xml:space="preserve">her conditions of registration. A failure to attend for testing or raised % CDT levels (i.e. above the acceptable range) may be viewed as a potential breach of the participant’s conditions. </w:t>
      </w:r>
    </w:p>
    <w:p w:rsidR="007F64E1" w:rsidRDefault="007F64E1" w:rsidP="00B5042E">
      <w:pPr>
        <w:pStyle w:val="Default"/>
        <w:ind w:left="426"/>
        <w:jc w:val="both"/>
        <w:rPr>
          <w:sz w:val="22"/>
          <w:szCs w:val="22"/>
        </w:rPr>
      </w:pPr>
    </w:p>
    <w:p w:rsidR="007F64E1" w:rsidRDefault="007F64E1" w:rsidP="00B5042E">
      <w:pPr>
        <w:pStyle w:val="Default"/>
        <w:ind w:left="426"/>
        <w:jc w:val="both"/>
        <w:rPr>
          <w:sz w:val="22"/>
          <w:szCs w:val="22"/>
        </w:rPr>
      </w:pPr>
    </w:p>
    <w:p w:rsidR="00DE577E" w:rsidRDefault="00DE577E" w:rsidP="00B5042E">
      <w:pPr>
        <w:pStyle w:val="Default"/>
        <w:ind w:left="426"/>
        <w:jc w:val="both"/>
        <w:rPr>
          <w:sz w:val="22"/>
          <w:szCs w:val="22"/>
        </w:rPr>
      </w:pPr>
    </w:p>
    <w:p w:rsidR="00DE577E" w:rsidRDefault="00DE577E" w:rsidP="00B5042E">
      <w:pPr>
        <w:pStyle w:val="Default"/>
        <w:ind w:left="426"/>
        <w:jc w:val="both"/>
        <w:rPr>
          <w:sz w:val="22"/>
          <w:szCs w:val="22"/>
        </w:rPr>
      </w:pPr>
    </w:p>
    <w:p w:rsidR="004B3B52" w:rsidRPr="008521CB" w:rsidRDefault="004B3B52" w:rsidP="008521CB">
      <w:pPr>
        <w:pStyle w:val="Default"/>
        <w:rPr>
          <w:sz w:val="22"/>
          <w:szCs w:val="22"/>
        </w:rPr>
      </w:pPr>
    </w:p>
    <w:p w:rsidR="008521CB" w:rsidRDefault="008521CB" w:rsidP="004B3B52">
      <w:pPr>
        <w:pStyle w:val="Default"/>
        <w:tabs>
          <w:tab w:val="left" w:pos="426"/>
        </w:tabs>
        <w:rPr>
          <w:b/>
          <w:bCs/>
          <w:sz w:val="22"/>
          <w:szCs w:val="22"/>
        </w:rPr>
      </w:pPr>
      <w:r w:rsidRPr="008521CB">
        <w:rPr>
          <w:b/>
          <w:bCs/>
          <w:sz w:val="22"/>
          <w:szCs w:val="22"/>
        </w:rPr>
        <w:t xml:space="preserve">10. </w:t>
      </w:r>
      <w:r w:rsidR="004B3B52">
        <w:rPr>
          <w:b/>
          <w:bCs/>
          <w:sz w:val="22"/>
          <w:szCs w:val="22"/>
        </w:rPr>
        <w:tab/>
      </w:r>
      <w:r w:rsidR="00C476E9">
        <w:rPr>
          <w:b/>
          <w:bCs/>
          <w:sz w:val="22"/>
          <w:szCs w:val="22"/>
        </w:rPr>
        <w:t xml:space="preserve">CRITICAL COMPLAINCE ORDERS </w:t>
      </w:r>
      <w:r w:rsidRPr="008521CB">
        <w:rPr>
          <w:b/>
          <w:bCs/>
          <w:sz w:val="22"/>
          <w:szCs w:val="22"/>
        </w:rPr>
        <w:t xml:space="preserve"> </w:t>
      </w:r>
    </w:p>
    <w:p w:rsidR="004B3B52" w:rsidRPr="008521CB" w:rsidRDefault="004B3B52" w:rsidP="008521CB">
      <w:pPr>
        <w:pStyle w:val="Default"/>
        <w:rPr>
          <w:sz w:val="22"/>
          <w:szCs w:val="22"/>
        </w:rPr>
      </w:pPr>
    </w:p>
    <w:p w:rsidR="008521CB" w:rsidRDefault="008521CB" w:rsidP="00B5042E">
      <w:pPr>
        <w:pStyle w:val="Default"/>
        <w:ind w:left="426"/>
        <w:jc w:val="both"/>
        <w:rPr>
          <w:sz w:val="22"/>
          <w:szCs w:val="22"/>
        </w:rPr>
      </w:pPr>
      <w:r w:rsidRPr="008521CB">
        <w:rPr>
          <w:sz w:val="22"/>
          <w:szCs w:val="22"/>
        </w:rPr>
        <w:t xml:space="preserve">If the participant is subject to a critical compliance condition in relation to % CDT testing and is in breach of this protocol, the discretion which the Council may exercise is severely limited. Instead, the Council is required by the </w:t>
      </w:r>
      <w:r w:rsidRPr="008521CB">
        <w:rPr>
          <w:i/>
          <w:iCs/>
          <w:sz w:val="22"/>
          <w:szCs w:val="22"/>
        </w:rPr>
        <w:t xml:space="preserve">Health Practitioner Regulation National Law (NSW) </w:t>
      </w:r>
      <w:r w:rsidRPr="008521CB">
        <w:rPr>
          <w:sz w:val="22"/>
          <w:szCs w:val="22"/>
        </w:rPr>
        <w:t xml:space="preserve">to take the following action: </w:t>
      </w:r>
    </w:p>
    <w:p w:rsidR="004B3B52" w:rsidRPr="008521CB" w:rsidRDefault="004B3B52" w:rsidP="008521CB">
      <w:pPr>
        <w:pStyle w:val="Default"/>
        <w:rPr>
          <w:sz w:val="22"/>
          <w:szCs w:val="22"/>
        </w:rPr>
      </w:pPr>
    </w:p>
    <w:p w:rsidR="008521CB" w:rsidRPr="008521CB" w:rsidRDefault="008521CB" w:rsidP="00B5042E">
      <w:pPr>
        <w:pStyle w:val="Default"/>
        <w:numPr>
          <w:ilvl w:val="0"/>
          <w:numId w:val="3"/>
        </w:numPr>
        <w:jc w:val="both"/>
        <w:rPr>
          <w:sz w:val="22"/>
          <w:szCs w:val="22"/>
        </w:rPr>
      </w:pPr>
      <w:r w:rsidRPr="008521CB">
        <w:rPr>
          <w:sz w:val="22"/>
          <w:szCs w:val="22"/>
        </w:rPr>
        <w:t xml:space="preserve">Convene proceedings pursuant to Section 150 of the </w:t>
      </w:r>
      <w:r w:rsidRPr="008521CB">
        <w:rPr>
          <w:i/>
          <w:iCs/>
          <w:sz w:val="22"/>
          <w:szCs w:val="22"/>
        </w:rPr>
        <w:t>Health Practitioner Regulation National Law (NSW)</w:t>
      </w:r>
      <w:r w:rsidRPr="008521CB">
        <w:rPr>
          <w:sz w:val="22"/>
          <w:szCs w:val="22"/>
        </w:rPr>
        <w:t xml:space="preserve">. If the Council is satisfied that the participant has contravened the Critical Compliance Condition imposed on his or her registration, the participant will be suspended until a complaint concerning the matter can be dealt with by the Tribunal. </w:t>
      </w:r>
    </w:p>
    <w:p w:rsidR="008521CB" w:rsidRPr="008521CB" w:rsidRDefault="008521CB" w:rsidP="00B5042E">
      <w:pPr>
        <w:pStyle w:val="Default"/>
        <w:jc w:val="both"/>
        <w:rPr>
          <w:sz w:val="22"/>
          <w:szCs w:val="22"/>
        </w:rPr>
      </w:pPr>
    </w:p>
    <w:p w:rsidR="008521CB" w:rsidRPr="008521CB" w:rsidRDefault="008521CB" w:rsidP="00B5042E">
      <w:pPr>
        <w:pStyle w:val="Default"/>
        <w:numPr>
          <w:ilvl w:val="0"/>
          <w:numId w:val="3"/>
        </w:numPr>
        <w:jc w:val="both"/>
        <w:rPr>
          <w:sz w:val="22"/>
          <w:szCs w:val="22"/>
        </w:rPr>
      </w:pPr>
      <w:r w:rsidRPr="008521CB">
        <w:rPr>
          <w:sz w:val="22"/>
          <w:szCs w:val="22"/>
        </w:rPr>
        <w:t xml:space="preserve">Refer a complaint concerning the participant’s breach of the Critical Compliance Condition to the Tribunal. If the Tribunal is satisfied that the participant has contravened the Critical Compliance Condition, the Tribunal must order the participant’s de-registration. </w:t>
      </w:r>
    </w:p>
    <w:p w:rsidR="004B3B52" w:rsidRPr="008521CB" w:rsidRDefault="004B3B52" w:rsidP="008521CB">
      <w:pPr>
        <w:pStyle w:val="Default"/>
        <w:rPr>
          <w:sz w:val="22"/>
          <w:szCs w:val="22"/>
        </w:rPr>
      </w:pPr>
    </w:p>
    <w:p w:rsidR="008521CB" w:rsidRDefault="008521CB" w:rsidP="004B3B52">
      <w:pPr>
        <w:pStyle w:val="Default"/>
        <w:ind w:left="426" w:hanging="426"/>
        <w:rPr>
          <w:b/>
          <w:bCs/>
          <w:sz w:val="22"/>
          <w:szCs w:val="22"/>
        </w:rPr>
      </w:pPr>
      <w:r w:rsidRPr="008521CB">
        <w:rPr>
          <w:b/>
          <w:bCs/>
          <w:sz w:val="22"/>
          <w:szCs w:val="22"/>
        </w:rPr>
        <w:t xml:space="preserve">12. </w:t>
      </w:r>
      <w:r w:rsidR="004B3B52">
        <w:rPr>
          <w:b/>
          <w:bCs/>
          <w:sz w:val="22"/>
          <w:szCs w:val="22"/>
        </w:rPr>
        <w:tab/>
      </w:r>
      <w:r w:rsidRPr="008521CB">
        <w:rPr>
          <w:b/>
          <w:bCs/>
          <w:sz w:val="22"/>
          <w:szCs w:val="22"/>
        </w:rPr>
        <w:t xml:space="preserve">CDT TESTING </w:t>
      </w:r>
      <w:r w:rsidR="00B5042E">
        <w:rPr>
          <w:b/>
          <w:bCs/>
          <w:sz w:val="22"/>
          <w:szCs w:val="22"/>
        </w:rPr>
        <w:t>PROCEDURE</w:t>
      </w:r>
    </w:p>
    <w:p w:rsidR="004B3B52" w:rsidRPr="008521CB" w:rsidRDefault="004B3B52" w:rsidP="008521CB">
      <w:pPr>
        <w:pStyle w:val="Default"/>
        <w:rPr>
          <w:sz w:val="22"/>
          <w:szCs w:val="22"/>
        </w:rPr>
      </w:pPr>
    </w:p>
    <w:p w:rsidR="008521CB" w:rsidRDefault="008521CB" w:rsidP="00B5042E">
      <w:pPr>
        <w:pStyle w:val="Default"/>
        <w:numPr>
          <w:ilvl w:val="0"/>
          <w:numId w:val="4"/>
        </w:numPr>
        <w:jc w:val="both"/>
        <w:rPr>
          <w:sz w:val="22"/>
          <w:szCs w:val="22"/>
        </w:rPr>
      </w:pPr>
      <w:r w:rsidRPr="008521CB">
        <w:rPr>
          <w:sz w:val="22"/>
          <w:szCs w:val="22"/>
        </w:rPr>
        <w:t xml:space="preserve">Blood is to be drawn by a collection supervisor. Most of the major pathology laboratories are able to draw the blood sample, or alternatively, a nominated practitioner may draw the sample for direction to a pathology laboratory for separation and freezing, then forwarded to the testing pathology laboratory. Prior to the commencement of CDT testing, the participant will be asked to nominate, for Council approval, a pathology laboratory or a medical practitioner to provide the collection service. </w:t>
      </w:r>
    </w:p>
    <w:p w:rsidR="006E59E1" w:rsidRDefault="006E59E1" w:rsidP="006E59E1">
      <w:pPr>
        <w:pStyle w:val="Default"/>
        <w:jc w:val="both"/>
        <w:rPr>
          <w:sz w:val="22"/>
          <w:szCs w:val="22"/>
        </w:rPr>
      </w:pPr>
    </w:p>
    <w:p w:rsidR="008521CB" w:rsidRPr="008521CB" w:rsidRDefault="008521CB" w:rsidP="00B5042E">
      <w:pPr>
        <w:pStyle w:val="Default"/>
        <w:numPr>
          <w:ilvl w:val="0"/>
          <w:numId w:val="4"/>
        </w:numPr>
        <w:rPr>
          <w:sz w:val="22"/>
          <w:szCs w:val="22"/>
        </w:rPr>
      </w:pPr>
      <w:r w:rsidRPr="008521CB">
        <w:rPr>
          <w:sz w:val="22"/>
          <w:szCs w:val="22"/>
        </w:rPr>
        <w:t xml:space="preserve">If the sample is not collected at a pathology collection centre, the sample must be directed to a pathology laboratory for separation and freezing. </w:t>
      </w:r>
    </w:p>
    <w:p w:rsidR="008521CB" w:rsidRPr="008521CB" w:rsidRDefault="008521CB" w:rsidP="008521CB">
      <w:pPr>
        <w:pStyle w:val="Default"/>
        <w:rPr>
          <w:sz w:val="22"/>
          <w:szCs w:val="22"/>
        </w:rPr>
      </w:pPr>
    </w:p>
    <w:p w:rsidR="008521CB" w:rsidRPr="008521CB" w:rsidRDefault="008521CB" w:rsidP="003D7D66">
      <w:pPr>
        <w:pStyle w:val="Default"/>
        <w:numPr>
          <w:ilvl w:val="0"/>
          <w:numId w:val="4"/>
        </w:numPr>
        <w:ind w:left="714" w:hanging="357"/>
        <w:rPr>
          <w:sz w:val="22"/>
          <w:szCs w:val="22"/>
        </w:rPr>
      </w:pPr>
      <w:r w:rsidRPr="008521CB">
        <w:rPr>
          <w:sz w:val="22"/>
          <w:szCs w:val="22"/>
        </w:rPr>
        <w:t xml:space="preserve">1.5mL of serum is the minimum requirement for the test (a standard 7 </w:t>
      </w:r>
      <w:proofErr w:type="spellStart"/>
      <w:r w:rsidRPr="008521CB">
        <w:rPr>
          <w:sz w:val="22"/>
          <w:szCs w:val="22"/>
        </w:rPr>
        <w:t>mL</w:t>
      </w:r>
      <w:proofErr w:type="spellEnd"/>
      <w:r w:rsidRPr="008521CB">
        <w:rPr>
          <w:sz w:val="22"/>
          <w:szCs w:val="22"/>
        </w:rPr>
        <w:t xml:space="preserve"> collection tube will yield approximately 3.5 </w:t>
      </w:r>
      <w:proofErr w:type="spellStart"/>
      <w:r w:rsidRPr="008521CB">
        <w:rPr>
          <w:sz w:val="22"/>
          <w:szCs w:val="22"/>
        </w:rPr>
        <w:t>mL</w:t>
      </w:r>
      <w:proofErr w:type="spellEnd"/>
      <w:r w:rsidRPr="008521CB">
        <w:rPr>
          <w:sz w:val="22"/>
          <w:szCs w:val="22"/>
        </w:rPr>
        <w:t xml:space="preserve"> of serum). </w:t>
      </w:r>
    </w:p>
    <w:p w:rsidR="008521CB" w:rsidRPr="008521CB" w:rsidRDefault="008521CB" w:rsidP="008521CB">
      <w:pPr>
        <w:pStyle w:val="Default"/>
        <w:rPr>
          <w:sz w:val="22"/>
          <w:szCs w:val="22"/>
        </w:rPr>
      </w:pPr>
    </w:p>
    <w:p w:rsidR="008521CB" w:rsidRDefault="008521CB" w:rsidP="003D7D66">
      <w:pPr>
        <w:pStyle w:val="Default"/>
        <w:numPr>
          <w:ilvl w:val="0"/>
          <w:numId w:val="4"/>
        </w:numPr>
        <w:ind w:left="714" w:hanging="357"/>
        <w:rPr>
          <w:sz w:val="22"/>
          <w:szCs w:val="22"/>
        </w:rPr>
      </w:pPr>
      <w:r w:rsidRPr="008521CB">
        <w:rPr>
          <w:sz w:val="22"/>
          <w:szCs w:val="22"/>
        </w:rPr>
        <w:t xml:space="preserve"> Blood should be drawn on the first Monday of the month, unless otherwise specified in the conditions of registration. Should this fall on a public holiday, blood should be drawn the following business day. </w:t>
      </w:r>
    </w:p>
    <w:p w:rsidR="006E59E1" w:rsidRDefault="006E59E1" w:rsidP="006E59E1">
      <w:pPr>
        <w:pStyle w:val="Default"/>
        <w:rPr>
          <w:sz w:val="22"/>
          <w:szCs w:val="22"/>
        </w:rPr>
      </w:pPr>
    </w:p>
    <w:p w:rsidR="008521CB" w:rsidRPr="008521CB" w:rsidRDefault="008521CB" w:rsidP="000C72B2">
      <w:pPr>
        <w:pStyle w:val="Default"/>
        <w:numPr>
          <w:ilvl w:val="0"/>
          <w:numId w:val="4"/>
        </w:numPr>
        <w:jc w:val="both"/>
        <w:rPr>
          <w:sz w:val="22"/>
          <w:szCs w:val="22"/>
        </w:rPr>
      </w:pPr>
      <w:r w:rsidRPr="008521CB">
        <w:rPr>
          <w:sz w:val="22"/>
          <w:szCs w:val="22"/>
        </w:rPr>
        <w:t xml:space="preserve">Samples of frozen serum are to be forwarded to the testing pathology laboratory for analysis. </w:t>
      </w:r>
    </w:p>
    <w:p w:rsidR="008521CB" w:rsidRPr="008521CB" w:rsidRDefault="008521CB" w:rsidP="000C72B2">
      <w:pPr>
        <w:pStyle w:val="Default"/>
        <w:jc w:val="both"/>
        <w:rPr>
          <w:sz w:val="22"/>
          <w:szCs w:val="22"/>
        </w:rPr>
      </w:pPr>
    </w:p>
    <w:p w:rsidR="008521CB" w:rsidRPr="008521CB" w:rsidRDefault="008521CB" w:rsidP="000C72B2">
      <w:pPr>
        <w:pStyle w:val="Default"/>
        <w:numPr>
          <w:ilvl w:val="0"/>
          <w:numId w:val="4"/>
        </w:numPr>
        <w:jc w:val="both"/>
        <w:rPr>
          <w:sz w:val="22"/>
          <w:szCs w:val="22"/>
        </w:rPr>
      </w:pPr>
      <w:r w:rsidRPr="008521CB">
        <w:rPr>
          <w:sz w:val="22"/>
          <w:szCs w:val="22"/>
        </w:rPr>
        <w:t>CDT testing results must be forwarded by the pathologist directly to the Council, the treating practitioner(s), the Counci</w:t>
      </w:r>
      <w:r w:rsidR="00B5042E">
        <w:rPr>
          <w:sz w:val="22"/>
          <w:szCs w:val="22"/>
        </w:rPr>
        <w:t>l-appointed practitioners (CAP</w:t>
      </w:r>
      <w:proofErr w:type="gramStart"/>
      <w:r w:rsidR="00B5042E">
        <w:rPr>
          <w:sz w:val="22"/>
          <w:szCs w:val="22"/>
        </w:rPr>
        <w:t>)s</w:t>
      </w:r>
      <w:proofErr w:type="gramEnd"/>
      <w:r w:rsidR="00B5042E">
        <w:rPr>
          <w:sz w:val="22"/>
          <w:szCs w:val="22"/>
        </w:rPr>
        <w:t xml:space="preserve"> </w:t>
      </w:r>
      <w:r w:rsidRPr="008521CB">
        <w:rPr>
          <w:sz w:val="22"/>
          <w:szCs w:val="22"/>
        </w:rPr>
        <w:t xml:space="preserve">, and any other person(s) specified in the conditions of registration. The participant may also find it useful to receive a copy. </w:t>
      </w:r>
    </w:p>
    <w:p w:rsidR="008521CB" w:rsidRPr="008521CB" w:rsidRDefault="008521CB" w:rsidP="000C72B2">
      <w:pPr>
        <w:pStyle w:val="Default"/>
        <w:jc w:val="both"/>
        <w:rPr>
          <w:sz w:val="22"/>
          <w:szCs w:val="22"/>
        </w:rPr>
      </w:pPr>
    </w:p>
    <w:p w:rsidR="008521CB" w:rsidRPr="008521CB" w:rsidRDefault="008521CB" w:rsidP="000C72B2">
      <w:pPr>
        <w:pStyle w:val="Default"/>
        <w:numPr>
          <w:ilvl w:val="0"/>
          <w:numId w:val="4"/>
        </w:numPr>
        <w:jc w:val="both"/>
        <w:rPr>
          <w:sz w:val="22"/>
          <w:szCs w:val="22"/>
        </w:rPr>
      </w:pPr>
      <w:r w:rsidRPr="008521CB">
        <w:rPr>
          <w:sz w:val="22"/>
          <w:szCs w:val="22"/>
        </w:rPr>
        <w:t xml:space="preserve">The CAP(s) will bring any abnormal CDT testing results to the immediate attention of the Council in addition to noting the result in their next report. </w:t>
      </w:r>
    </w:p>
    <w:p w:rsidR="008521CB" w:rsidRDefault="008521CB" w:rsidP="000C72B2">
      <w:pPr>
        <w:pStyle w:val="Default"/>
        <w:jc w:val="both"/>
        <w:rPr>
          <w:sz w:val="22"/>
          <w:szCs w:val="22"/>
        </w:rPr>
      </w:pPr>
    </w:p>
    <w:p w:rsidR="00DE577E" w:rsidRDefault="00DE577E" w:rsidP="000C72B2">
      <w:pPr>
        <w:pStyle w:val="Default"/>
        <w:jc w:val="both"/>
        <w:rPr>
          <w:sz w:val="22"/>
          <w:szCs w:val="22"/>
        </w:rPr>
      </w:pPr>
    </w:p>
    <w:p w:rsidR="00DE577E" w:rsidRPr="008521CB" w:rsidRDefault="00DE577E" w:rsidP="000C72B2">
      <w:pPr>
        <w:pStyle w:val="Default"/>
        <w:jc w:val="both"/>
        <w:rPr>
          <w:sz w:val="22"/>
          <w:szCs w:val="22"/>
        </w:rPr>
      </w:pPr>
    </w:p>
    <w:p w:rsidR="008521CB" w:rsidRPr="008521CB" w:rsidRDefault="000C72B2" w:rsidP="000C72B2">
      <w:pPr>
        <w:pStyle w:val="Default"/>
        <w:ind w:left="720" w:hanging="360"/>
        <w:jc w:val="both"/>
        <w:rPr>
          <w:sz w:val="22"/>
          <w:szCs w:val="22"/>
        </w:rPr>
      </w:pPr>
      <w:r>
        <w:rPr>
          <w:sz w:val="22"/>
          <w:szCs w:val="22"/>
        </w:rPr>
        <w:t>(h</w:t>
      </w:r>
      <w:r w:rsidR="00B5042E">
        <w:rPr>
          <w:sz w:val="22"/>
          <w:szCs w:val="22"/>
        </w:rPr>
        <w:t xml:space="preserve">) </w:t>
      </w:r>
      <w:r w:rsidR="00B5042E">
        <w:rPr>
          <w:sz w:val="22"/>
          <w:szCs w:val="22"/>
        </w:rPr>
        <w:tab/>
      </w:r>
      <w:r w:rsidR="008521CB" w:rsidRPr="008521CB">
        <w:rPr>
          <w:sz w:val="22"/>
          <w:szCs w:val="22"/>
        </w:rPr>
        <w:t xml:space="preserve">The participant is to notify the Council and the CAP(s) at least </w:t>
      </w:r>
      <w:r>
        <w:rPr>
          <w:sz w:val="22"/>
          <w:szCs w:val="22"/>
        </w:rPr>
        <w:t>five</w:t>
      </w:r>
      <w:r w:rsidR="008521CB" w:rsidRPr="008521CB">
        <w:rPr>
          <w:sz w:val="22"/>
          <w:szCs w:val="22"/>
        </w:rPr>
        <w:t xml:space="preserve"> business days in advance of any proposed holidays or leave that will interfere with compliance. An alternative date for testing will then be arranged. </w:t>
      </w:r>
    </w:p>
    <w:p w:rsidR="008521CB" w:rsidRPr="008521CB" w:rsidRDefault="008521CB" w:rsidP="000C72B2">
      <w:pPr>
        <w:pStyle w:val="Default"/>
        <w:jc w:val="both"/>
        <w:rPr>
          <w:sz w:val="22"/>
          <w:szCs w:val="22"/>
        </w:rPr>
      </w:pPr>
    </w:p>
    <w:p w:rsidR="008521CB" w:rsidRPr="008521CB" w:rsidRDefault="008521CB" w:rsidP="000C72B2">
      <w:pPr>
        <w:pStyle w:val="Default"/>
        <w:numPr>
          <w:ilvl w:val="0"/>
          <w:numId w:val="5"/>
        </w:numPr>
        <w:jc w:val="both"/>
        <w:rPr>
          <w:sz w:val="22"/>
          <w:szCs w:val="22"/>
        </w:rPr>
      </w:pPr>
      <w:r w:rsidRPr="008521CB">
        <w:rPr>
          <w:sz w:val="22"/>
          <w:szCs w:val="22"/>
        </w:rPr>
        <w:t xml:space="preserve">Raised levels of CDT without explanation or a failure to attend and provide a sample as directed without a reasonable excuse are regarded as breaches. The participant will be required to provide a written explanation for the consideration of the Council. Other processes apply in the event % CDT Testing is a Critical Compliance Condition on the participant’s registration. </w:t>
      </w:r>
    </w:p>
    <w:p w:rsidR="008521CB" w:rsidRPr="008521CB" w:rsidRDefault="008521CB" w:rsidP="000C72B2">
      <w:pPr>
        <w:pStyle w:val="Default"/>
        <w:jc w:val="both"/>
        <w:rPr>
          <w:sz w:val="22"/>
          <w:szCs w:val="22"/>
        </w:rPr>
      </w:pPr>
    </w:p>
    <w:p w:rsidR="008521CB" w:rsidRPr="008521CB" w:rsidRDefault="008521CB" w:rsidP="000C72B2">
      <w:pPr>
        <w:pStyle w:val="Default"/>
        <w:numPr>
          <w:ilvl w:val="0"/>
          <w:numId w:val="5"/>
        </w:numPr>
        <w:jc w:val="both"/>
        <w:rPr>
          <w:sz w:val="22"/>
          <w:szCs w:val="22"/>
        </w:rPr>
      </w:pPr>
      <w:r w:rsidRPr="008521CB">
        <w:rPr>
          <w:sz w:val="22"/>
          <w:szCs w:val="22"/>
        </w:rPr>
        <w:t xml:space="preserve">Any breach of this protocol may result in disciplinary action. </w:t>
      </w:r>
    </w:p>
    <w:p w:rsidR="00DA09E6" w:rsidRDefault="00DA09E6" w:rsidP="0062131C">
      <w:pPr>
        <w:spacing w:after="0" w:line="240" w:lineRule="auto"/>
        <w:rPr>
          <w:rFonts w:ascii="Arial" w:hAnsi="Arial" w:cs="Arial"/>
        </w:rPr>
      </w:pPr>
    </w:p>
    <w:p w:rsidR="000C72B2" w:rsidRDefault="000C72B2" w:rsidP="0062131C">
      <w:pPr>
        <w:spacing w:after="0" w:line="240" w:lineRule="auto"/>
        <w:rPr>
          <w:rFonts w:ascii="Arial" w:hAnsi="Arial" w:cs="Arial"/>
        </w:rPr>
      </w:pPr>
    </w:p>
    <w:p w:rsidR="000C72B2" w:rsidRDefault="000C72B2" w:rsidP="0062131C">
      <w:pPr>
        <w:spacing w:after="0" w:line="240" w:lineRule="auto"/>
        <w:rPr>
          <w:rFonts w:ascii="Arial" w:hAnsi="Arial" w:cs="Arial"/>
        </w:rPr>
      </w:pPr>
    </w:p>
    <w:p w:rsidR="000C72B2" w:rsidRDefault="000C72B2" w:rsidP="00E87B08">
      <w:pPr>
        <w:spacing w:after="0" w:line="240" w:lineRule="auto"/>
        <w:ind w:left="360"/>
        <w:rPr>
          <w:rFonts w:ascii="Arial" w:hAnsi="Arial" w:cs="Arial"/>
          <w:sz w:val="20"/>
          <w:szCs w:val="20"/>
        </w:rPr>
      </w:pPr>
      <w:proofErr w:type="gramStart"/>
      <w:r w:rsidRPr="000C72B2">
        <w:rPr>
          <w:rFonts w:ascii="Arial" w:hAnsi="Arial" w:cs="Arial"/>
          <w:sz w:val="20"/>
          <w:szCs w:val="20"/>
        </w:rPr>
        <w:t xml:space="preserve">Adapted from the Nursing </w:t>
      </w:r>
      <w:r w:rsidR="00DE577E">
        <w:rPr>
          <w:rFonts w:ascii="Arial" w:hAnsi="Arial" w:cs="Arial"/>
          <w:sz w:val="20"/>
          <w:szCs w:val="20"/>
        </w:rPr>
        <w:t>and</w:t>
      </w:r>
      <w:r w:rsidRPr="000C72B2">
        <w:rPr>
          <w:rFonts w:ascii="Arial" w:hAnsi="Arial" w:cs="Arial"/>
          <w:sz w:val="20"/>
          <w:szCs w:val="20"/>
        </w:rPr>
        <w:t xml:space="preserve"> Midwifery Council of New South Wales’ ‘</w:t>
      </w:r>
      <w:r w:rsidRPr="000C72B2">
        <w:rPr>
          <w:rFonts w:ascii="Arial" w:hAnsi="Arial" w:cs="Arial"/>
          <w:i/>
          <w:sz w:val="20"/>
          <w:szCs w:val="20"/>
        </w:rPr>
        <w:t xml:space="preserve">Carbohydrate-Deficient Transferrin Testing Policy’ </w:t>
      </w:r>
      <w:r w:rsidRPr="000C72B2">
        <w:rPr>
          <w:rFonts w:ascii="Arial" w:hAnsi="Arial" w:cs="Arial"/>
          <w:sz w:val="20"/>
          <w:szCs w:val="20"/>
        </w:rPr>
        <w:t>2 June 2011.</w:t>
      </w:r>
      <w:proofErr w:type="gramEnd"/>
      <w:r w:rsidRPr="000C72B2">
        <w:rPr>
          <w:rFonts w:ascii="Arial" w:hAnsi="Arial" w:cs="Arial"/>
          <w:sz w:val="20"/>
          <w:szCs w:val="20"/>
        </w:rPr>
        <w:t xml:space="preserve"> </w:t>
      </w:r>
    </w:p>
    <w:p w:rsidR="00DE577E" w:rsidRDefault="00DE577E" w:rsidP="00E87B08">
      <w:pPr>
        <w:spacing w:after="0" w:line="240" w:lineRule="auto"/>
        <w:ind w:left="360"/>
        <w:rPr>
          <w:rFonts w:ascii="Arial" w:hAnsi="Arial" w:cs="Arial"/>
          <w:sz w:val="20"/>
          <w:szCs w:val="20"/>
        </w:rPr>
      </w:pPr>
    </w:p>
    <w:p w:rsidR="00DE577E" w:rsidRDefault="00DE577E" w:rsidP="00E87B08">
      <w:pPr>
        <w:spacing w:after="0" w:line="240" w:lineRule="auto"/>
        <w:ind w:left="360"/>
        <w:rPr>
          <w:rFonts w:ascii="Arial" w:hAnsi="Arial" w:cs="Arial"/>
          <w:sz w:val="20"/>
          <w:szCs w:val="20"/>
        </w:rPr>
      </w:pPr>
    </w:p>
    <w:p w:rsidR="000C72B2" w:rsidRDefault="000C72B2" w:rsidP="0062131C">
      <w:pPr>
        <w:spacing w:after="0" w:line="240" w:lineRule="auto"/>
        <w:rPr>
          <w:rFonts w:ascii="Arial" w:hAnsi="Arial" w:cs="Arial"/>
          <w:sz w:val="20"/>
          <w:szCs w:val="20"/>
        </w:rPr>
      </w:pPr>
    </w:p>
    <w:tbl>
      <w:tblPr>
        <w:tblStyle w:val="TableGrid"/>
        <w:tblW w:w="9180" w:type="dxa"/>
        <w:tblInd w:w="457" w:type="dxa"/>
        <w:tblLook w:val="04A0"/>
      </w:tblPr>
      <w:tblGrid>
        <w:gridCol w:w="4219"/>
        <w:gridCol w:w="4961"/>
      </w:tblGrid>
      <w:tr w:rsidR="000C72B2" w:rsidRPr="00977AD4" w:rsidTr="00DE577E">
        <w:trPr>
          <w:trHeight w:val="283"/>
        </w:trPr>
        <w:tc>
          <w:tcPr>
            <w:tcW w:w="4219" w:type="dxa"/>
          </w:tcPr>
          <w:p w:rsidR="000C72B2" w:rsidRPr="00977AD4" w:rsidRDefault="000C72B2" w:rsidP="0062131C">
            <w:pPr>
              <w:rPr>
                <w:rFonts w:ascii="Arial" w:hAnsi="Arial" w:cs="Arial"/>
                <w:b/>
                <w:sz w:val="18"/>
                <w:szCs w:val="18"/>
              </w:rPr>
            </w:pPr>
            <w:r w:rsidRPr="00977AD4">
              <w:rPr>
                <w:rFonts w:ascii="Arial" w:hAnsi="Arial" w:cs="Arial"/>
                <w:b/>
                <w:sz w:val="18"/>
                <w:szCs w:val="18"/>
              </w:rPr>
              <w:t xml:space="preserve">Approved by </w:t>
            </w:r>
          </w:p>
        </w:tc>
        <w:tc>
          <w:tcPr>
            <w:tcW w:w="4961" w:type="dxa"/>
          </w:tcPr>
          <w:p w:rsidR="000C72B2" w:rsidRPr="00977AD4" w:rsidRDefault="000C72B2" w:rsidP="0062131C">
            <w:pPr>
              <w:rPr>
                <w:rFonts w:ascii="Arial" w:hAnsi="Arial" w:cs="Arial"/>
                <w:b/>
                <w:sz w:val="18"/>
                <w:szCs w:val="18"/>
              </w:rPr>
            </w:pPr>
            <w:r w:rsidRPr="00977AD4">
              <w:rPr>
                <w:rFonts w:ascii="Arial" w:hAnsi="Arial" w:cs="Arial"/>
                <w:b/>
                <w:sz w:val="18"/>
                <w:szCs w:val="18"/>
              </w:rPr>
              <w:t xml:space="preserve">Date </w:t>
            </w:r>
          </w:p>
        </w:tc>
      </w:tr>
      <w:tr w:rsidR="000C72B2" w:rsidRPr="00977AD4" w:rsidTr="00DE577E">
        <w:trPr>
          <w:trHeight w:val="283"/>
        </w:trPr>
        <w:tc>
          <w:tcPr>
            <w:tcW w:w="4219" w:type="dxa"/>
          </w:tcPr>
          <w:p w:rsidR="000C72B2" w:rsidRPr="007F64E1" w:rsidRDefault="007F64E1" w:rsidP="0062131C">
            <w:pPr>
              <w:rPr>
                <w:rFonts w:ascii="Arial" w:hAnsi="Arial" w:cs="Arial"/>
                <w:sz w:val="18"/>
                <w:szCs w:val="18"/>
              </w:rPr>
            </w:pPr>
            <w:r w:rsidRPr="007F64E1">
              <w:rPr>
                <w:rFonts w:ascii="Arial" w:hAnsi="Arial" w:cs="Arial"/>
                <w:sz w:val="18"/>
                <w:szCs w:val="18"/>
              </w:rPr>
              <w:t xml:space="preserve">Podiatry Council of New South Wales </w:t>
            </w:r>
            <w:r w:rsidR="000C72B2" w:rsidRPr="007F64E1">
              <w:rPr>
                <w:rFonts w:ascii="Arial" w:hAnsi="Arial" w:cs="Arial"/>
                <w:sz w:val="18"/>
                <w:szCs w:val="18"/>
              </w:rPr>
              <w:t xml:space="preserve"> </w:t>
            </w:r>
          </w:p>
        </w:tc>
        <w:tc>
          <w:tcPr>
            <w:tcW w:w="4961" w:type="dxa"/>
          </w:tcPr>
          <w:p w:rsidR="000C72B2" w:rsidRPr="00DE577E" w:rsidRDefault="00DE577E" w:rsidP="0062131C">
            <w:pPr>
              <w:rPr>
                <w:rFonts w:ascii="Arial" w:hAnsi="Arial" w:cs="Arial"/>
                <w:sz w:val="18"/>
                <w:szCs w:val="18"/>
              </w:rPr>
            </w:pPr>
            <w:r w:rsidRPr="00DE577E">
              <w:rPr>
                <w:rFonts w:ascii="Arial" w:hAnsi="Arial" w:cs="Arial"/>
                <w:sz w:val="18"/>
                <w:szCs w:val="18"/>
              </w:rPr>
              <w:t>19 March 2014</w:t>
            </w:r>
          </w:p>
        </w:tc>
      </w:tr>
    </w:tbl>
    <w:p w:rsidR="000C72B2" w:rsidRPr="000C72B2" w:rsidRDefault="000C72B2" w:rsidP="0062131C">
      <w:pPr>
        <w:spacing w:after="0" w:line="240" w:lineRule="auto"/>
        <w:rPr>
          <w:rFonts w:ascii="Arial" w:hAnsi="Arial" w:cs="Arial"/>
          <w:sz w:val="20"/>
          <w:szCs w:val="20"/>
        </w:rPr>
      </w:pPr>
      <w:r>
        <w:rPr>
          <w:rFonts w:ascii="Arial" w:hAnsi="Arial" w:cs="Arial"/>
          <w:sz w:val="20"/>
          <w:szCs w:val="20"/>
        </w:rPr>
        <w:tab/>
      </w:r>
    </w:p>
    <w:sectPr w:rsidR="000C72B2" w:rsidRPr="000C72B2" w:rsidSect="00DE577E">
      <w:headerReference w:type="default" r:id="rId8"/>
      <w:footerReference w:type="default" r:id="rId9"/>
      <w:pgSz w:w="11907" w:h="16839" w:code="9"/>
      <w:pgMar w:top="1418" w:right="1416" w:bottom="595" w:left="1418" w:header="284" w:footer="48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10" w:rsidRDefault="00D52B10" w:rsidP="008521CB">
      <w:pPr>
        <w:spacing w:after="0" w:line="240" w:lineRule="auto"/>
      </w:pPr>
      <w:r>
        <w:separator/>
      </w:r>
    </w:p>
  </w:endnote>
  <w:endnote w:type="continuationSeparator" w:id="0">
    <w:p w:rsidR="00D52B10" w:rsidRDefault="00D52B10" w:rsidP="00852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6" w:rsidRPr="00C67A87" w:rsidRDefault="003D7D66" w:rsidP="000C72B2">
    <w:pPr>
      <w:pBdr>
        <w:top w:val="single" w:sz="4" w:space="1" w:color="auto"/>
      </w:pBdr>
      <w:ind w:left="-142" w:right="-711" w:hanging="709"/>
      <w:rPr>
        <w:rFonts w:ascii="Arial" w:hAnsi="Arial" w:cs="Arial"/>
        <w:sz w:val="18"/>
        <w:szCs w:val="18"/>
      </w:rPr>
    </w:pPr>
    <w:r>
      <w:rPr>
        <w:rFonts w:ascii="Arial" w:hAnsi="Arial" w:cs="Arial"/>
        <w:bCs/>
        <w:sz w:val="18"/>
        <w:szCs w:val="18"/>
      </w:rPr>
      <w:t>Podiatry Council of N</w:t>
    </w:r>
    <w:r w:rsidR="00DE577E">
      <w:rPr>
        <w:rFonts w:ascii="Arial" w:hAnsi="Arial" w:cs="Arial"/>
        <w:bCs/>
        <w:sz w:val="18"/>
        <w:szCs w:val="18"/>
      </w:rPr>
      <w:t xml:space="preserve">ew </w:t>
    </w:r>
    <w:r>
      <w:rPr>
        <w:rFonts w:ascii="Arial" w:hAnsi="Arial" w:cs="Arial"/>
        <w:bCs/>
        <w:sz w:val="18"/>
        <w:szCs w:val="18"/>
      </w:rPr>
      <w:t>S</w:t>
    </w:r>
    <w:r w:rsidR="00DE577E">
      <w:rPr>
        <w:rFonts w:ascii="Arial" w:hAnsi="Arial" w:cs="Arial"/>
        <w:bCs/>
        <w:sz w:val="18"/>
        <w:szCs w:val="18"/>
      </w:rPr>
      <w:t xml:space="preserve">outh </w:t>
    </w:r>
    <w:r>
      <w:rPr>
        <w:rFonts w:ascii="Arial" w:hAnsi="Arial" w:cs="Arial"/>
        <w:bCs/>
        <w:sz w:val="18"/>
        <w:szCs w:val="18"/>
      </w:rPr>
      <w:t>W</w:t>
    </w:r>
    <w:r w:rsidR="00DE577E">
      <w:rPr>
        <w:rFonts w:ascii="Arial" w:hAnsi="Arial" w:cs="Arial"/>
        <w:bCs/>
        <w:sz w:val="18"/>
        <w:szCs w:val="18"/>
      </w:rPr>
      <w:t>ales</w:t>
    </w:r>
    <w:r>
      <w:rPr>
        <w:rFonts w:ascii="Arial" w:hAnsi="Arial" w:cs="Arial"/>
        <w:bCs/>
        <w:sz w:val="18"/>
        <w:szCs w:val="18"/>
      </w:rPr>
      <w:t xml:space="preserve"> </w:t>
    </w:r>
    <w:r w:rsidRPr="00365BEF">
      <w:rPr>
        <w:rFonts w:ascii="Arial" w:hAnsi="Arial" w:cs="Arial"/>
        <w:bCs/>
        <w:sz w:val="18"/>
        <w:szCs w:val="18"/>
      </w:rPr>
      <w:ptab w:relativeTo="margin" w:alignment="center" w:leader="none"/>
    </w:r>
    <w:r>
      <w:rPr>
        <w:rFonts w:ascii="Arial" w:hAnsi="Arial" w:cs="Arial"/>
        <w:bCs/>
        <w:sz w:val="18"/>
        <w:szCs w:val="18"/>
      </w:rPr>
      <w:t>CDT Testing Protocol – March 2014</w:t>
    </w:r>
    <w:r w:rsidRPr="00365BEF">
      <w:rPr>
        <w:rFonts w:ascii="Arial" w:hAnsi="Arial" w:cs="Arial"/>
        <w:bCs/>
        <w:sz w:val="18"/>
        <w:szCs w:val="18"/>
      </w:rPr>
      <w:ptab w:relativeTo="margin" w:alignment="right" w:leader="none"/>
    </w:r>
    <w:sdt>
      <w:sdtPr>
        <w:rPr>
          <w:rFonts w:ascii="Arial" w:hAnsi="Arial" w:cs="Arial"/>
          <w:sz w:val="18"/>
          <w:szCs w:val="18"/>
        </w:rPr>
        <w:id w:val="7316649"/>
        <w:docPartObj>
          <w:docPartGallery w:val="Page Numbers (Top of Page)"/>
          <w:docPartUnique/>
        </w:docPartObj>
      </w:sdtPr>
      <w:sdtContent>
        <w:r w:rsidRPr="00C67A87">
          <w:rPr>
            <w:rFonts w:ascii="Arial" w:hAnsi="Arial" w:cs="Arial"/>
            <w:sz w:val="18"/>
            <w:szCs w:val="18"/>
          </w:rPr>
          <w:t xml:space="preserve">Page </w:t>
        </w:r>
        <w:r w:rsidR="008726A0" w:rsidRPr="00C67A87">
          <w:rPr>
            <w:rFonts w:ascii="Arial" w:hAnsi="Arial" w:cs="Arial"/>
            <w:sz w:val="18"/>
            <w:szCs w:val="18"/>
          </w:rPr>
          <w:fldChar w:fldCharType="begin"/>
        </w:r>
        <w:r w:rsidRPr="00C67A87">
          <w:rPr>
            <w:rFonts w:ascii="Arial" w:hAnsi="Arial" w:cs="Arial"/>
            <w:sz w:val="18"/>
            <w:szCs w:val="18"/>
          </w:rPr>
          <w:instrText xml:space="preserve"> PAGE </w:instrText>
        </w:r>
        <w:r w:rsidR="008726A0" w:rsidRPr="00C67A87">
          <w:rPr>
            <w:rFonts w:ascii="Arial" w:hAnsi="Arial" w:cs="Arial"/>
            <w:sz w:val="18"/>
            <w:szCs w:val="18"/>
          </w:rPr>
          <w:fldChar w:fldCharType="separate"/>
        </w:r>
        <w:r w:rsidR="004676CB">
          <w:rPr>
            <w:rFonts w:ascii="Arial" w:hAnsi="Arial" w:cs="Arial"/>
            <w:noProof/>
            <w:sz w:val="18"/>
            <w:szCs w:val="18"/>
          </w:rPr>
          <w:t>1</w:t>
        </w:r>
        <w:r w:rsidR="008726A0" w:rsidRPr="00C67A87">
          <w:rPr>
            <w:rFonts w:ascii="Arial" w:hAnsi="Arial" w:cs="Arial"/>
            <w:sz w:val="18"/>
            <w:szCs w:val="18"/>
          </w:rPr>
          <w:fldChar w:fldCharType="end"/>
        </w:r>
        <w:r w:rsidRPr="00C67A87">
          <w:rPr>
            <w:rFonts w:ascii="Arial" w:hAnsi="Arial" w:cs="Arial"/>
            <w:sz w:val="18"/>
            <w:szCs w:val="18"/>
          </w:rPr>
          <w:t xml:space="preserve"> of </w:t>
        </w:r>
        <w:r w:rsidR="008726A0" w:rsidRPr="00C67A87">
          <w:rPr>
            <w:rFonts w:ascii="Arial" w:hAnsi="Arial" w:cs="Arial"/>
            <w:sz w:val="18"/>
            <w:szCs w:val="18"/>
          </w:rPr>
          <w:fldChar w:fldCharType="begin"/>
        </w:r>
        <w:r w:rsidRPr="00C67A87">
          <w:rPr>
            <w:rFonts w:ascii="Arial" w:hAnsi="Arial" w:cs="Arial"/>
            <w:sz w:val="18"/>
            <w:szCs w:val="18"/>
          </w:rPr>
          <w:instrText xml:space="preserve"> NUMPAGES  </w:instrText>
        </w:r>
        <w:r w:rsidR="008726A0" w:rsidRPr="00C67A87">
          <w:rPr>
            <w:rFonts w:ascii="Arial" w:hAnsi="Arial" w:cs="Arial"/>
            <w:sz w:val="18"/>
            <w:szCs w:val="18"/>
          </w:rPr>
          <w:fldChar w:fldCharType="separate"/>
        </w:r>
        <w:r w:rsidR="004676CB">
          <w:rPr>
            <w:rFonts w:ascii="Arial" w:hAnsi="Arial" w:cs="Arial"/>
            <w:noProof/>
            <w:sz w:val="18"/>
            <w:szCs w:val="18"/>
          </w:rPr>
          <w:t>4</w:t>
        </w:r>
        <w:r w:rsidR="008726A0" w:rsidRPr="00C67A87">
          <w:rPr>
            <w:rFonts w:ascii="Arial" w:hAnsi="Arial" w:cs="Arial"/>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10" w:rsidRDefault="00D52B10" w:rsidP="008521CB">
      <w:pPr>
        <w:spacing w:after="0" w:line="240" w:lineRule="auto"/>
      </w:pPr>
      <w:r>
        <w:separator/>
      </w:r>
    </w:p>
  </w:footnote>
  <w:footnote w:type="continuationSeparator" w:id="0">
    <w:p w:rsidR="00D52B10" w:rsidRDefault="00D52B10" w:rsidP="00852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6" w:rsidRDefault="003D7D66" w:rsidP="008521CB">
    <w:pPr>
      <w:pStyle w:val="Header"/>
      <w:jc w:val="center"/>
    </w:pPr>
    <w:r w:rsidRPr="007F64E1">
      <w:rPr>
        <w:noProof/>
        <w:lang w:eastAsia="en-AU"/>
      </w:rPr>
      <w:drawing>
        <wp:inline distT="0" distB="0" distL="0" distR="0">
          <wp:extent cx="2362200" cy="1295400"/>
          <wp:effectExtent l="19050" t="0" r="0" b="0"/>
          <wp:docPr id="3" name="Picture 1" descr="C:\Users\ashermacher\AppData\Local\Microsoft\Windows\Temporary Internet Files\Content.Outlook\QLBAXC0P\Podia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ermacher\AppData\Local\Microsoft\Windows\Temporary Internet Files\Content.Outlook\QLBAXC0P\Podiatry.jpg"/>
                  <pic:cNvPicPr>
                    <a:picLocks noChangeAspect="1" noChangeArrowheads="1"/>
                  </pic:cNvPicPr>
                </pic:nvPicPr>
                <pic:blipFill>
                  <a:blip r:embed="rId1" cstate="print"/>
                  <a:srcRect/>
                  <a:stretch>
                    <a:fillRect/>
                  </a:stretch>
                </pic:blipFill>
                <pic:spPr bwMode="auto">
                  <a:xfrm>
                    <a:off x="0" y="0"/>
                    <a:ext cx="2367857" cy="1298502"/>
                  </a:xfrm>
                  <a:prstGeom prst="rect">
                    <a:avLst/>
                  </a:prstGeom>
                  <a:noFill/>
                  <a:ln w="9525">
                    <a:noFill/>
                    <a:miter lim="800000"/>
                    <a:headEnd/>
                    <a:tailEnd/>
                  </a:ln>
                </pic:spPr>
              </pic:pic>
            </a:graphicData>
          </a:graphic>
        </wp:inline>
      </w:drawing>
    </w:r>
  </w:p>
  <w:p w:rsidR="003D7D66" w:rsidRDefault="003D7D66" w:rsidP="008521CB">
    <w:pPr>
      <w:jc w:val="center"/>
      <w:rPr>
        <w:rFonts w:ascii="Arial" w:hAnsi="Arial" w:cs="Arial"/>
        <w:b/>
        <w:color w:val="7F7F7F" w:themeColor="text1" w:themeTint="80"/>
      </w:rPr>
    </w:pPr>
    <w:r w:rsidRPr="008521CB">
      <w:rPr>
        <w:rFonts w:ascii="Arial" w:hAnsi="Arial" w:cs="Arial"/>
        <w:b/>
        <w:color w:val="7F7F7F" w:themeColor="text1" w:themeTint="80"/>
      </w:rPr>
      <w:t>Locked Bag 20, HAYMARKET   NSW   1238</w:t>
    </w:r>
  </w:p>
  <w:p w:rsidR="004676CB" w:rsidRPr="004676CB" w:rsidRDefault="004676CB" w:rsidP="004676CB">
    <w:pPr>
      <w:jc w:val="right"/>
      <w:rPr>
        <w:rFonts w:ascii="Arial" w:hAnsi="Arial" w:cs="Arial"/>
      </w:rPr>
    </w:pPr>
    <w:r w:rsidRPr="004676CB">
      <w:rPr>
        <w:rFonts w:ascii="Arial" w:hAnsi="Arial" w:cs="Arial"/>
      </w:rPr>
      <w:t>HP14/3207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153"/>
    <w:multiLevelType w:val="hybridMultilevel"/>
    <w:tmpl w:val="AEB03D4A"/>
    <w:lvl w:ilvl="0" w:tplc="20386C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EA561B"/>
    <w:multiLevelType w:val="hybridMultilevel"/>
    <w:tmpl w:val="4320A158"/>
    <w:lvl w:ilvl="0" w:tplc="177C4818">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93254A"/>
    <w:multiLevelType w:val="hybridMultilevel"/>
    <w:tmpl w:val="8558116A"/>
    <w:lvl w:ilvl="0" w:tplc="40CA03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B7F3BF9"/>
    <w:multiLevelType w:val="hybridMultilevel"/>
    <w:tmpl w:val="CC848078"/>
    <w:lvl w:ilvl="0" w:tplc="EF26130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ED06896"/>
    <w:multiLevelType w:val="hybridMultilevel"/>
    <w:tmpl w:val="B28E7CBE"/>
    <w:lvl w:ilvl="0" w:tplc="5FC4722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8521CB"/>
    <w:rsid w:val="00004FE8"/>
    <w:rsid w:val="0008036D"/>
    <w:rsid w:val="000B0060"/>
    <w:rsid w:val="000C72B2"/>
    <w:rsid w:val="00103509"/>
    <w:rsid w:val="0015495C"/>
    <w:rsid w:val="001F22C3"/>
    <w:rsid w:val="00287A43"/>
    <w:rsid w:val="00294404"/>
    <w:rsid w:val="002C2DE3"/>
    <w:rsid w:val="00365BEF"/>
    <w:rsid w:val="003D7D66"/>
    <w:rsid w:val="00403F3B"/>
    <w:rsid w:val="004676CB"/>
    <w:rsid w:val="004B3B52"/>
    <w:rsid w:val="005222B2"/>
    <w:rsid w:val="0054487B"/>
    <w:rsid w:val="0062131C"/>
    <w:rsid w:val="006A4FD4"/>
    <w:rsid w:val="006C2534"/>
    <w:rsid w:val="006E59E1"/>
    <w:rsid w:val="007B1145"/>
    <w:rsid w:val="007C36E5"/>
    <w:rsid w:val="007F64E1"/>
    <w:rsid w:val="008521CB"/>
    <w:rsid w:val="00872630"/>
    <w:rsid w:val="008726A0"/>
    <w:rsid w:val="008B5EDD"/>
    <w:rsid w:val="008F242F"/>
    <w:rsid w:val="00961BE9"/>
    <w:rsid w:val="00964AF0"/>
    <w:rsid w:val="00977AD4"/>
    <w:rsid w:val="009947D2"/>
    <w:rsid w:val="009D3E89"/>
    <w:rsid w:val="00B02ED4"/>
    <w:rsid w:val="00B144BB"/>
    <w:rsid w:val="00B5042E"/>
    <w:rsid w:val="00B75D46"/>
    <w:rsid w:val="00BE33C2"/>
    <w:rsid w:val="00C104B0"/>
    <w:rsid w:val="00C331AD"/>
    <w:rsid w:val="00C476E9"/>
    <w:rsid w:val="00C52ABA"/>
    <w:rsid w:val="00C64313"/>
    <w:rsid w:val="00C67A87"/>
    <w:rsid w:val="00D52B10"/>
    <w:rsid w:val="00D954D1"/>
    <w:rsid w:val="00DA09E6"/>
    <w:rsid w:val="00DE577E"/>
    <w:rsid w:val="00E62A63"/>
    <w:rsid w:val="00E87B08"/>
    <w:rsid w:val="00F1001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1C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521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21CB"/>
  </w:style>
  <w:style w:type="paragraph" w:styleId="Footer">
    <w:name w:val="footer"/>
    <w:basedOn w:val="Normal"/>
    <w:link w:val="FooterChar"/>
    <w:uiPriority w:val="99"/>
    <w:semiHidden/>
    <w:unhideWhenUsed/>
    <w:rsid w:val="008521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1CB"/>
  </w:style>
  <w:style w:type="paragraph" w:styleId="BalloonText">
    <w:name w:val="Balloon Text"/>
    <w:basedOn w:val="Normal"/>
    <w:link w:val="BalloonTextChar"/>
    <w:uiPriority w:val="99"/>
    <w:semiHidden/>
    <w:unhideWhenUsed/>
    <w:rsid w:val="0085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CB"/>
    <w:rPr>
      <w:rFonts w:ascii="Tahoma" w:hAnsi="Tahoma" w:cs="Tahoma"/>
      <w:sz w:val="16"/>
      <w:szCs w:val="16"/>
    </w:rPr>
  </w:style>
  <w:style w:type="table" w:styleId="TableGrid">
    <w:name w:val="Table Grid"/>
    <w:basedOn w:val="TableNormal"/>
    <w:uiPriority w:val="59"/>
    <w:rsid w:val="000C7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D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4B291-8E8B-4F06-8393-CC340B18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ianastasiadis</dc:creator>
  <cp:lastModifiedBy>ianastasiadis</cp:lastModifiedBy>
  <cp:revision>3</cp:revision>
  <cp:lastPrinted>2014-03-18T05:08:00Z</cp:lastPrinted>
  <dcterms:created xsi:type="dcterms:W3CDTF">2014-04-02T03:00:00Z</dcterms:created>
  <dcterms:modified xsi:type="dcterms:W3CDTF">2014-04-02T03:24:00Z</dcterms:modified>
</cp:coreProperties>
</file>